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324" w:rsidRDefault="007E5324" w:rsidP="007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324">
        <w:rPr>
          <w:rFonts w:ascii="Times New Roman" w:hAnsi="Times New Roman" w:cs="Times New Roman"/>
          <w:b/>
          <w:sz w:val="28"/>
          <w:szCs w:val="28"/>
        </w:rPr>
        <w:t>Для пятидневной рабочей недели  2019 год</w:t>
      </w:r>
    </w:p>
    <w:p w:rsidR="00C727D4" w:rsidRDefault="00C727D4" w:rsidP="007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5CC" w:rsidRPr="008A65CC" w:rsidRDefault="00C727D4" w:rsidP="008A65CC">
      <w:pPr>
        <w:spacing w:after="1" w:line="200" w:lineRule="atLeast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65CC" w:rsidRPr="008A65CC">
        <w:rPr>
          <w:rFonts w:ascii="Times New Roman" w:hAnsi="Times New Roman" w:cs="Times New Roman"/>
          <w:b/>
          <w:sz w:val="28"/>
          <w:szCs w:val="28"/>
        </w:rPr>
        <w:t>еренос выходных дней</w:t>
      </w:r>
    </w:p>
    <w:p w:rsidR="008A65CC" w:rsidRDefault="008A65CC" w:rsidP="008A65CC">
      <w:pPr>
        <w:spacing w:after="1" w:line="200" w:lineRule="atLeast"/>
        <w:jc w:val="both"/>
      </w:pPr>
    </w:p>
    <w:p w:rsidR="008A65CC" w:rsidRDefault="008A65CC" w:rsidP="008A65CC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В соответствии с </w:t>
      </w:r>
      <w:hyperlink r:id="rId6" w:history="1">
        <w:r>
          <w:rPr>
            <w:rFonts w:ascii="Arial" w:hAnsi="Arial" w:cs="Arial"/>
            <w:b/>
            <w:color w:val="0000FF"/>
            <w:sz w:val="20"/>
          </w:rPr>
          <w:t>частью 2 статьи 112</w:t>
        </w:r>
      </w:hyperlink>
      <w:r>
        <w:rPr>
          <w:rFonts w:ascii="Arial" w:hAnsi="Arial" w:cs="Arial"/>
          <w:b/>
          <w:sz w:val="20"/>
        </w:rPr>
        <w:t xml:space="preserve"> Трудового кодекса Российской Федерации при совпадении выходного и нерабочего праздничного дней выходной день переносится на следующий после праздничного рабочий день. Исключением из этого правила являются выходные дни, совпадающие с нерабочими праздничными днями с 1 по 8 января. Правительство Российской Федерации переносит два выходных дня из числа этих дней на другие дни в очередном календарном году.</w:t>
      </w:r>
    </w:p>
    <w:p w:rsidR="008A65CC" w:rsidRDefault="008A65CC" w:rsidP="008A65CC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В соответствии с </w:t>
      </w:r>
      <w:hyperlink r:id="rId7" w:history="1">
        <w:r>
          <w:rPr>
            <w:rFonts w:ascii="Arial" w:hAnsi="Arial" w:cs="Arial"/>
            <w:b/>
            <w:color w:val="0000FF"/>
            <w:sz w:val="20"/>
          </w:rPr>
          <w:t>частью пятой статьи 112</w:t>
        </w:r>
      </w:hyperlink>
      <w:r>
        <w:rPr>
          <w:rFonts w:ascii="Arial" w:hAnsi="Arial" w:cs="Arial"/>
          <w:b/>
          <w:sz w:val="20"/>
        </w:rPr>
        <w:t xml:space="preserve">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8A65CC" w:rsidRDefault="008A65CC" w:rsidP="008A65CC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 xml:space="preserve">В 2019 году в соответствии с </w:t>
      </w:r>
      <w:hyperlink r:id="rId8" w:history="1">
        <w:r>
          <w:rPr>
            <w:rFonts w:ascii="Arial" w:hAnsi="Arial" w:cs="Arial"/>
            <w:b/>
            <w:color w:val="0000FF"/>
            <w:sz w:val="20"/>
          </w:rPr>
          <w:t>постановлением</w:t>
        </w:r>
      </w:hyperlink>
      <w:r>
        <w:rPr>
          <w:rFonts w:ascii="Arial" w:hAnsi="Arial" w:cs="Arial"/>
          <w:b/>
          <w:sz w:val="20"/>
        </w:rPr>
        <w:t xml:space="preserve"> Правительства РФ "О переносе выходных дней в 2019 году" от 01.10.2018 N 1163 перенесены следующие выходные дни:</w:t>
      </w:r>
    </w:p>
    <w:p w:rsidR="008A65CC" w:rsidRPr="007E5324" w:rsidRDefault="008A65CC" w:rsidP="008A65CC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24">
        <w:rPr>
          <w:rFonts w:ascii="Times New Roman" w:hAnsi="Times New Roman" w:cs="Times New Roman"/>
          <w:b/>
          <w:sz w:val="28"/>
          <w:szCs w:val="28"/>
        </w:rPr>
        <w:t>с субботы 5 января на четверг 2 мая;</w:t>
      </w:r>
    </w:p>
    <w:p w:rsidR="008A65CC" w:rsidRPr="007E5324" w:rsidRDefault="008A65CC" w:rsidP="008A65CC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24">
        <w:rPr>
          <w:rFonts w:ascii="Times New Roman" w:hAnsi="Times New Roman" w:cs="Times New Roman"/>
          <w:b/>
          <w:sz w:val="28"/>
          <w:szCs w:val="28"/>
        </w:rPr>
        <w:t>с воскресенья 6 января на пятницу 3 мая;</w:t>
      </w:r>
    </w:p>
    <w:p w:rsidR="008A65CC" w:rsidRPr="007E5324" w:rsidRDefault="008A65CC" w:rsidP="008A65CC">
      <w:pPr>
        <w:spacing w:before="200"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324">
        <w:rPr>
          <w:rFonts w:ascii="Times New Roman" w:hAnsi="Times New Roman" w:cs="Times New Roman"/>
          <w:b/>
          <w:sz w:val="28"/>
          <w:szCs w:val="28"/>
        </w:rPr>
        <w:t>с субботы 23 февраля на пятницу 10 мая.</w:t>
      </w:r>
    </w:p>
    <w:p w:rsidR="008A65CC" w:rsidRPr="007E5324" w:rsidRDefault="008A65CC" w:rsidP="007E5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324" w:rsidRDefault="007E5324" w:rsidP="007E532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6"/>
        <w:gridCol w:w="536"/>
        <w:gridCol w:w="514"/>
        <w:gridCol w:w="22"/>
        <w:gridCol w:w="537"/>
        <w:gridCol w:w="527"/>
        <w:gridCol w:w="526"/>
        <w:gridCol w:w="507"/>
        <w:gridCol w:w="40"/>
        <w:gridCol w:w="516"/>
        <w:gridCol w:w="516"/>
        <w:gridCol w:w="537"/>
        <w:gridCol w:w="526"/>
      </w:tblGrid>
      <w:tr w:rsidR="007E5324" w:rsidTr="007E5324">
        <w:trPr>
          <w:gridAfter w:val="5"/>
          <w:wAfter w:w="2135" w:type="dxa"/>
        </w:trPr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 w:rsidP="007E5324">
            <w:pPr>
              <w:spacing w:after="1" w:line="200" w:lineRule="atLeast"/>
              <w:jc w:val="center"/>
            </w:pPr>
            <w:r>
              <w:t>Апрель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 w:rsidP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Май</w:t>
            </w:r>
          </w:p>
        </w:tc>
      </w:tr>
      <w:tr w:rsid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Понедельник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Вторник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8A65CC">
              <w:rPr>
                <w:rFonts w:ascii="Arial" w:hAnsi="Arial" w:cs="Arial"/>
                <w:b/>
                <w:sz w:val="20"/>
                <w:highlight w:val="yellow"/>
              </w:rPr>
              <w:t>30</w:t>
            </w:r>
            <w:hyperlink w:anchor="P620" w:history="1">
              <w:r w:rsidRPr="008A65CC">
                <w:rPr>
                  <w:rFonts w:ascii="Arial" w:hAnsi="Arial" w:cs="Arial"/>
                  <w:b/>
                  <w:color w:val="0000FF"/>
                  <w:sz w:val="20"/>
                  <w:highlight w:val="yellow"/>
                </w:rPr>
                <w:t>*</w:t>
              </w:r>
            </w:hyperlink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Среда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8A65CC">
              <w:rPr>
                <w:rFonts w:ascii="Arial" w:hAnsi="Arial" w:cs="Arial"/>
                <w:b/>
                <w:color w:val="FF0000"/>
                <w:sz w:val="20"/>
              </w:rPr>
              <w:t>1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8A65CC">
              <w:rPr>
                <w:rFonts w:ascii="Arial" w:hAnsi="Arial" w:cs="Arial"/>
                <w:b/>
                <w:sz w:val="20"/>
                <w:highlight w:val="yellow"/>
              </w:rPr>
              <w:t>8</w:t>
            </w:r>
            <w:hyperlink w:anchor="P620" w:history="1">
              <w:r w:rsidRPr="008A65CC">
                <w:rPr>
                  <w:rFonts w:ascii="Arial" w:hAnsi="Arial" w:cs="Arial"/>
                  <w:b/>
                  <w:color w:val="0000FF"/>
                  <w:sz w:val="20"/>
                  <w:highlight w:val="yellow"/>
                </w:rPr>
                <w:t>*</w:t>
              </w:r>
            </w:hyperlink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Четверг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2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8A65CC">
              <w:rPr>
                <w:rFonts w:ascii="Arial" w:hAnsi="Arial" w:cs="Arial"/>
                <w:b/>
                <w:color w:val="FF0000"/>
                <w:sz w:val="20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Пятница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31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Суббота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Pr="008A65CC" w:rsidRDefault="007E5324">
            <w:pPr>
              <w:spacing w:after="1" w:line="200" w:lineRule="atLeast"/>
              <w:jc w:val="center"/>
              <w:rPr>
                <w:highlight w:val="green"/>
              </w:rPr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4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Pr="008A65CC" w:rsidRDefault="007E5324">
            <w:pPr>
              <w:spacing w:after="1" w:line="200" w:lineRule="atLeast"/>
              <w:jc w:val="center"/>
              <w:rPr>
                <w:highlight w:val="green"/>
              </w:rPr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Pr="008A65CC" w:rsidRDefault="007E5324">
            <w:pPr>
              <w:spacing w:after="1" w:line="200" w:lineRule="atLeast"/>
              <w:jc w:val="center"/>
              <w:rPr>
                <w:highlight w:val="green"/>
              </w:rPr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18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Pr="008A65CC" w:rsidRDefault="007E5324">
            <w:pPr>
              <w:spacing w:after="1" w:line="200" w:lineRule="atLeast"/>
              <w:jc w:val="center"/>
              <w:rPr>
                <w:highlight w:val="green"/>
              </w:rPr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25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Воскресенье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324" w:rsidRPr="008A65CC" w:rsidRDefault="007E5324">
            <w:pPr>
              <w:spacing w:after="1" w:line="200" w:lineRule="atLeast"/>
              <w:jc w:val="center"/>
              <w:rPr>
                <w:highlight w:val="green"/>
              </w:rPr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Pr="008A65CC" w:rsidRDefault="007E5324">
            <w:pPr>
              <w:spacing w:after="1" w:line="200" w:lineRule="atLeast"/>
              <w:jc w:val="center"/>
              <w:rPr>
                <w:highlight w:val="green"/>
              </w:rPr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Pr="008A65CC" w:rsidRDefault="007E5324">
            <w:pPr>
              <w:spacing w:after="1" w:line="200" w:lineRule="atLeast"/>
              <w:jc w:val="center"/>
              <w:rPr>
                <w:highlight w:val="green"/>
              </w:rPr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19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Pr="008A65CC" w:rsidRDefault="007E5324">
            <w:pPr>
              <w:spacing w:after="1" w:line="200" w:lineRule="atLeast"/>
              <w:jc w:val="center"/>
              <w:rPr>
                <w:highlight w:val="green"/>
              </w:rPr>
            </w:pPr>
            <w:r w:rsidRPr="008A65CC">
              <w:rPr>
                <w:rFonts w:ascii="Arial" w:hAnsi="Arial" w:cs="Arial"/>
                <w:b/>
                <w:sz w:val="20"/>
                <w:highlight w:val="green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Номера недель</w:t>
            </w:r>
          </w:p>
        </w:tc>
        <w:tc>
          <w:tcPr>
            <w:tcW w:w="160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5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21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b/>
                <w:sz w:val="20"/>
              </w:rPr>
              <w:t>22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</w:tbl>
    <w:p w:rsidR="007E5324" w:rsidRDefault="007E5324">
      <w:pPr>
        <w:spacing w:after="1" w:line="200" w:lineRule="atLeast"/>
      </w:pPr>
    </w:p>
    <w:p w:rsidR="007E5324" w:rsidRDefault="007E5324">
      <w:pPr>
        <w:spacing w:after="1" w:line="200" w:lineRule="atLeast"/>
        <w:jc w:val="both"/>
      </w:pPr>
    </w:p>
    <w:p w:rsidR="007E5324" w:rsidRDefault="007E5324">
      <w:pPr>
        <w:spacing w:after="1" w:line="200" w:lineRule="atLeast"/>
        <w:ind w:firstLine="540"/>
        <w:jc w:val="both"/>
      </w:pPr>
      <w:r>
        <w:rPr>
          <w:rFonts w:ascii="Arial" w:hAnsi="Arial" w:cs="Arial"/>
          <w:b/>
          <w:sz w:val="20"/>
        </w:rPr>
        <w:t>--------------------------------</w:t>
      </w:r>
    </w:p>
    <w:p w:rsidR="008A65CC" w:rsidRDefault="007E5324">
      <w:pPr>
        <w:spacing w:before="200" w:after="1" w:line="200" w:lineRule="atLeast"/>
        <w:ind w:firstLine="540"/>
        <w:jc w:val="both"/>
        <w:rPr>
          <w:rFonts w:ascii="Arial" w:hAnsi="Arial" w:cs="Arial"/>
          <w:b/>
          <w:sz w:val="20"/>
        </w:rPr>
      </w:pPr>
      <w:bookmarkStart w:id="0" w:name="P620"/>
      <w:bookmarkEnd w:id="0"/>
      <w:r w:rsidRPr="008A65CC">
        <w:rPr>
          <w:rFonts w:ascii="Arial" w:hAnsi="Arial" w:cs="Arial"/>
          <w:b/>
          <w:sz w:val="20"/>
          <w:highlight w:val="yellow"/>
        </w:rPr>
        <w:t>&lt;*&gt; Предпраздничные дни, в которые продолжительность работы сокращается на один час</w:t>
      </w:r>
      <w:r w:rsidR="008A65CC">
        <w:rPr>
          <w:rFonts w:ascii="Arial" w:hAnsi="Arial" w:cs="Arial"/>
          <w:b/>
          <w:sz w:val="20"/>
        </w:rPr>
        <w:t xml:space="preserve"> </w:t>
      </w:r>
      <w:r w:rsidR="008A65CC" w:rsidRPr="008A65CC">
        <w:rPr>
          <w:rFonts w:ascii="Arial" w:hAnsi="Arial" w:cs="Arial"/>
          <w:b/>
          <w:sz w:val="20"/>
          <w:highlight w:val="yellow"/>
        </w:rPr>
        <w:t>для работников, у которых в трудовом договоре написано: «Продолжительность рабочего времени».</w:t>
      </w:r>
      <w:r w:rsidR="008A65CC">
        <w:rPr>
          <w:rFonts w:ascii="Arial" w:hAnsi="Arial" w:cs="Arial"/>
          <w:b/>
          <w:sz w:val="20"/>
        </w:rPr>
        <w:t xml:space="preserve"> </w:t>
      </w:r>
    </w:p>
    <w:p w:rsidR="007E5324" w:rsidRDefault="008A65CC">
      <w:pPr>
        <w:spacing w:before="200" w:after="1" w:line="200" w:lineRule="atLeast"/>
        <w:ind w:firstLine="540"/>
        <w:jc w:val="both"/>
        <w:rPr>
          <w:rFonts w:ascii="Arial" w:hAnsi="Arial" w:cs="Arial"/>
          <w:b/>
          <w:sz w:val="20"/>
        </w:rPr>
      </w:pPr>
      <w:r w:rsidRPr="008A65CC">
        <w:rPr>
          <w:rFonts w:ascii="Arial" w:hAnsi="Arial" w:cs="Arial"/>
          <w:b/>
          <w:sz w:val="20"/>
          <w:highlight w:val="yellow"/>
        </w:rPr>
        <w:t>Для работников, у которых в трудовом договоре прописана не продолжительность рабочего времени, а норма часов в неделю (год), положение о сокращении продолжительности работы на таких работников не распространяется.</w:t>
      </w:r>
    </w:p>
    <w:p w:rsidR="008A65CC" w:rsidRDefault="008A65CC">
      <w:pPr>
        <w:spacing w:before="200" w:after="1" w:line="200" w:lineRule="atLeast"/>
        <w:ind w:firstLine="540"/>
        <w:jc w:val="both"/>
        <w:rPr>
          <w:rFonts w:ascii="Arial" w:hAnsi="Arial" w:cs="Arial"/>
          <w:b/>
          <w:color w:val="FF0000"/>
          <w:sz w:val="20"/>
        </w:rPr>
      </w:pPr>
      <w:r w:rsidRPr="008A65CC">
        <w:rPr>
          <w:rFonts w:ascii="Arial" w:hAnsi="Arial" w:cs="Arial"/>
          <w:b/>
          <w:color w:val="FF0000"/>
          <w:sz w:val="20"/>
        </w:rPr>
        <w:t>«1»</w:t>
      </w:r>
      <w:r>
        <w:rPr>
          <w:rFonts w:ascii="Arial" w:hAnsi="Arial" w:cs="Arial"/>
          <w:b/>
          <w:color w:val="FF0000"/>
          <w:sz w:val="20"/>
        </w:rPr>
        <w:t xml:space="preserve"> - праздничные дни.</w:t>
      </w:r>
    </w:p>
    <w:p w:rsidR="008A65CC" w:rsidRPr="008A65CC" w:rsidRDefault="008A65CC">
      <w:pPr>
        <w:spacing w:before="200" w:after="1" w:line="200" w:lineRule="atLeast"/>
        <w:ind w:firstLine="540"/>
        <w:jc w:val="both"/>
        <w:rPr>
          <w:rFonts w:ascii="Arial" w:hAnsi="Arial" w:cs="Arial"/>
          <w:b/>
          <w:sz w:val="20"/>
        </w:rPr>
      </w:pPr>
      <w:r w:rsidRPr="008A65CC">
        <w:rPr>
          <w:rFonts w:ascii="Arial" w:hAnsi="Arial" w:cs="Arial"/>
          <w:b/>
          <w:sz w:val="20"/>
          <w:highlight w:val="green"/>
        </w:rPr>
        <w:t>«1» - выходные дни</w:t>
      </w:r>
      <w:r>
        <w:rPr>
          <w:rFonts w:ascii="Arial" w:hAnsi="Arial" w:cs="Arial"/>
          <w:b/>
          <w:sz w:val="20"/>
        </w:rPr>
        <w:t xml:space="preserve"> </w:t>
      </w:r>
      <w:r w:rsidRPr="008A65CC">
        <w:rPr>
          <w:rFonts w:ascii="Arial" w:hAnsi="Arial" w:cs="Arial"/>
          <w:b/>
          <w:sz w:val="20"/>
          <w:highlight w:val="green"/>
        </w:rPr>
        <w:t>– в табеле рабочего времени это выходные дни для работающих пятидневку</w:t>
      </w:r>
    </w:p>
    <w:p w:rsidR="007E5324" w:rsidRDefault="007E5324" w:rsidP="00C727D4">
      <w:pPr>
        <w:ind w:right="-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C">
        <w:rPr>
          <w:rFonts w:ascii="Times New Roman" w:hAnsi="Times New Roman" w:cs="Times New Roman"/>
          <w:b/>
          <w:sz w:val="28"/>
          <w:szCs w:val="28"/>
        </w:rPr>
        <w:lastRenderedPageBreak/>
        <w:t>Для шестидневной рабочей недели</w:t>
      </w:r>
    </w:p>
    <w:p w:rsidR="00C727D4" w:rsidRPr="00C727D4" w:rsidRDefault="00C727D4" w:rsidP="00C727D4">
      <w:pPr>
        <w:spacing w:after="1" w:line="200" w:lineRule="atLeas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727D4">
        <w:rPr>
          <w:rFonts w:ascii="Times New Roman" w:hAnsi="Times New Roman" w:cs="Times New Roman"/>
          <w:b/>
          <w:sz w:val="28"/>
          <w:szCs w:val="28"/>
        </w:rPr>
        <w:t>еренос выходных дней</w:t>
      </w:r>
    </w:p>
    <w:p w:rsidR="00C727D4" w:rsidRDefault="00C727D4" w:rsidP="00C727D4">
      <w:pPr>
        <w:spacing w:after="1" w:line="200" w:lineRule="atLeast"/>
        <w:jc w:val="both"/>
      </w:pPr>
    </w:p>
    <w:p w:rsidR="00C727D4" w:rsidRDefault="00C727D4" w:rsidP="00C727D4">
      <w:pPr>
        <w:spacing w:after="1" w:line="200" w:lineRule="atLeast"/>
        <w:ind w:firstLine="540"/>
        <w:jc w:val="both"/>
      </w:pPr>
      <w:r>
        <w:rPr>
          <w:rFonts w:ascii="Arial" w:hAnsi="Arial" w:cs="Arial"/>
          <w:sz w:val="20"/>
        </w:rPr>
        <w:t xml:space="preserve">В соответствии с </w:t>
      </w:r>
      <w:hyperlink r:id="rId9" w:history="1">
        <w:r>
          <w:rPr>
            <w:rFonts w:ascii="Arial" w:hAnsi="Arial" w:cs="Arial"/>
            <w:color w:val="0000FF"/>
            <w:sz w:val="20"/>
          </w:rPr>
          <w:t>частью пятой статьи 112</w:t>
        </w:r>
      </w:hyperlink>
      <w:r>
        <w:rPr>
          <w:rFonts w:ascii="Arial" w:hAnsi="Arial" w:cs="Arial"/>
          <w:sz w:val="20"/>
        </w:rPr>
        <w:t xml:space="preserve"> ТК РФ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</w:t>
      </w:r>
    </w:p>
    <w:p w:rsidR="00C727D4" w:rsidRDefault="00C727D4" w:rsidP="00C727D4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sz w:val="20"/>
        </w:rPr>
        <w:t xml:space="preserve">В 2019 году в соответствии с </w:t>
      </w:r>
      <w:hyperlink r:id="rId10" w:history="1">
        <w:r>
          <w:rPr>
            <w:rFonts w:ascii="Arial" w:hAnsi="Arial" w:cs="Arial"/>
            <w:color w:val="0000FF"/>
            <w:sz w:val="20"/>
          </w:rPr>
          <w:t>постановлением</w:t>
        </w:r>
      </w:hyperlink>
      <w:r>
        <w:rPr>
          <w:rFonts w:ascii="Arial" w:hAnsi="Arial" w:cs="Arial"/>
          <w:sz w:val="20"/>
        </w:rPr>
        <w:t xml:space="preserve"> Правительства РФ "О переносе выходных дней в 2019 году" от 01.10.2018 N 1163 перенесены следующие выходные дни:</w:t>
      </w:r>
    </w:p>
    <w:p w:rsidR="00C727D4" w:rsidRDefault="00C727D4" w:rsidP="00C727D4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sz w:val="20"/>
        </w:rPr>
        <w:t>с субботы 5 января на четверг 2 мая;</w:t>
      </w:r>
    </w:p>
    <w:p w:rsidR="00C727D4" w:rsidRDefault="00C727D4" w:rsidP="00C727D4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sz w:val="20"/>
        </w:rPr>
        <w:t>с воскресенья 6 января на пятницу 3 мая;</w:t>
      </w:r>
    </w:p>
    <w:p w:rsidR="00C727D4" w:rsidRDefault="00C727D4" w:rsidP="00C727D4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sz w:val="20"/>
        </w:rPr>
        <w:t>с субботы 23 февраля на пятницу 10 мая.</w:t>
      </w:r>
    </w:p>
    <w:p w:rsidR="00C727D4" w:rsidRDefault="00C727D4" w:rsidP="00C727D4">
      <w:pPr>
        <w:spacing w:before="200" w:after="1" w:line="200" w:lineRule="atLeast"/>
        <w:ind w:firstLine="540"/>
        <w:jc w:val="both"/>
      </w:pPr>
      <w:r>
        <w:rPr>
          <w:rFonts w:ascii="Arial" w:hAnsi="Arial" w:cs="Arial"/>
          <w:sz w:val="20"/>
        </w:rPr>
        <w:t>Поскольку субботы являются рабочими днями для работников с шестидневной рабочей неделей, для них 5 января, 23 февраля не переносятся.</w:t>
      </w:r>
    </w:p>
    <w:p w:rsidR="007E5324" w:rsidRDefault="007E5324">
      <w:pPr>
        <w:spacing w:after="1" w:line="200" w:lineRule="atLeast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0"/>
        <w:gridCol w:w="510"/>
        <w:gridCol w:w="510"/>
        <w:gridCol w:w="510"/>
        <w:gridCol w:w="510"/>
        <w:gridCol w:w="351"/>
        <w:gridCol w:w="613"/>
        <w:gridCol w:w="484"/>
        <w:gridCol w:w="484"/>
        <w:gridCol w:w="484"/>
        <w:gridCol w:w="510"/>
        <w:gridCol w:w="510"/>
        <w:gridCol w:w="589"/>
        <w:gridCol w:w="589"/>
        <w:gridCol w:w="589"/>
        <w:gridCol w:w="590"/>
      </w:tblGrid>
      <w:tr w:rsidR="007E5324" w:rsidTr="007E5324"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239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324" w:rsidRDefault="007E5324">
            <w:pPr>
              <w:spacing w:after="1" w:line="200" w:lineRule="atLeast"/>
              <w:jc w:val="center"/>
            </w:pPr>
            <w:r>
              <w:t>Апрель</w:t>
            </w:r>
          </w:p>
        </w:tc>
        <w:tc>
          <w:tcPr>
            <w:tcW w:w="257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Май</w:t>
            </w:r>
          </w:p>
        </w:tc>
        <w:tc>
          <w:tcPr>
            <w:tcW w:w="286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 w:rsidT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Понедельник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 w:rsidT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Вторник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C727D4">
              <w:rPr>
                <w:rFonts w:ascii="Arial" w:hAnsi="Arial" w:cs="Arial"/>
                <w:sz w:val="20"/>
                <w:highlight w:val="yellow"/>
              </w:rPr>
              <w:t>30</w:t>
            </w:r>
            <w:hyperlink w:anchor="P548" w:history="1">
              <w:r w:rsidRPr="00C727D4">
                <w:rPr>
                  <w:rFonts w:ascii="Arial" w:hAnsi="Arial" w:cs="Arial"/>
                  <w:color w:val="0000FF"/>
                  <w:sz w:val="20"/>
                  <w:highlight w:val="yellow"/>
                </w:rPr>
                <w:t>*</w:t>
              </w:r>
            </w:hyperlink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 w:rsidT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Среда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C727D4">
              <w:rPr>
                <w:rFonts w:ascii="Arial" w:hAnsi="Arial" w:cs="Arial"/>
                <w:b/>
                <w:color w:val="C00000"/>
                <w:sz w:val="20"/>
              </w:rPr>
              <w:t>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Pr="00C727D4" w:rsidRDefault="007E5324">
            <w:pPr>
              <w:spacing w:after="1" w:line="200" w:lineRule="atLeast"/>
              <w:jc w:val="center"/>
              <w:rPr>
                <w:highlight w:val="yellow"/>
              </w:rPr>
            </w:pPr>
            <w:r w:rsidRPr="00C727D4">
              <w:rPr>
                <w:rFonts w:ascii="Arial" w:hAnsi="Arial" w:cs="Arial"/>
                <w:sz w:val="20"/>
                <w:highlight w:val="yellow"/>
              </w:rPr>
              <w:t>8</w:t>
            </w:r>
            <w:hyperlink w:anchor="P548" w:history="1">
              <w:r w:rsidRPr="00C727D4">
                <w:rPr>
                  <w:rFonts w:ascii="Arial" w:hAnsi="Arial" w:cs="Arial"/>
                  <w:color w:val="0000FF"/>
                  <w:sz w:val="20"/>
                  <w:highlight w:val="yellow"/>
                </w:rPr>
                <w:t>*</w:t>
              </w:r>
            </w:hyperlink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 w:rsidT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Четверг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C727D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C727D4">
              <w:rPr>
                <w:rFonts w:ascii="Arial" w:hAnsi="Arial" w:cs="Arial"/>
                <w:b/>
                <w:color w:val="C00000"/>
                <w:sz w:val="20"/>
              </w:rPr>
              <w:t>9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 w:rsidT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Пятница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C727D4">
              <w:rPr>
                <w:rFonts w:ascii="Arial" w:hAnsi="Arial" w:cs="Arial"/>
                <w:b/>
                <w:sz w:val="20"/>
                <w:highlight w:val="cyan"/>
              </w:rPr>
              <w:t>3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 w:rsidRPr="00C727D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 w:rsidT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Суббота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Pr="00E32AA2" w:rsidRDefault="007E5324">
            <w:pPr>
              <w:spacing w:after="1" w:line="200" w:lineRule="atLeast"/>
              <w:jc w:val="center"/>
            </w:pPr>
            <w:r w:rsidRPr="00E32AA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Pr="00E32AA2" w:rsidRDefault="007E5324">
            <w:pPr>
              <w:spacing w:after="1" w:line="200" w:lineRule="atLeast"/>
              <w:jc w:val="center"/>
            </w:pPr>
            <w:r w:rsidRPr="00E32AA2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Pr="00E32AA2" w:rsidRDefault="007E5324">
            <w:pPr>
              <w:spacing w:after="1" w:line="200" w:lineRule="atLeast"/>
              <w:jc w:val="center"/>
            </w:pPr>
            <w:r w:rsidRPr="00E32AA2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Pr="00E32AA2" w:rsidRDefault="007E5324">
            <w:pPr>
              <w:spacing w:after="1" w:line="200" w:lineRule="atLeast"/>
              <w:jc w:val="center"/>
            </w:pPr>
            <w:r w:rsidRPr="00E32AA2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 w:rsidTr="007E532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b/>
                <w:sz w:val="20"/>
              </w:rPr>
              <w:t>Воскресенье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324" w:rsidRPr="00C727D4" w:rsidRDefault="007E5324">
            <w:pPr>
              <w:spacing w:after="1" w:line="200" w:lineRule="atLeast"/>
              <w:jc w:val="center"/>
              <w:rPr>
                <w:highlight w:val="cyan"/>
              </w:rPr>
            </w:pPr>
            <w:r w:rsidRPr="00C727D4">
              <w:rPr>
                <w:rFonts w:ascii="Arial" w:hAnsi="Arial" w:cs="Arial"/>
                <w:b/>
                <w:sz w:val="20"/>
                <w:highlight w:val="cyan"/>
              </w:rPr>
              <w:t>5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Pr="00C727D4" w:rsidRDefault="007E5324">
            <w:pPr>
              <w:spacing w:after="1" w:line="200" w:lineRule="atLeast"/>
              <w:jc w:val="center"/>
              <w:rPr>
                <w:highlight w:val="cyan"/>
              </w:rPr>
            </w:pPr>
            <w:r w:rsidRPr="00C727D4">
              <w:rPr>
                <w:rFonts w:ascii="Arial" w:hAnsi="Arial" w:cs="Arial"/>
                <w:b/>
                <w:sz w:val="20"/>
                <w:highlight w:val="cyan"/>
              </w:rPr>
              <w:t>12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Pr="00C727D4" w:rsidRDefault="007E5324">
            <w:pPr>
              <w:spacing w:after="1" w:line="200" w:lineRule="atLeast"/>
              <w:jc w:val="center"/>
              <w:rPr>
                <w:highlight w:val="cyan"/>
              </w:rPr>
            </w:pPr>
            <w:r w:rsidRPr="00C727D4">
              <w:rPr>
                <w:rFonts w:ascii="Arial" w:hAnsi="Arial" w:cs="Arial"/>
                <w:b/>
                <w:sz w:val="20"/>
                <w:highlight w:val="cyan"/>
              </w:rPr>
              <w:t>19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Pr="00C727D4" w:rsidRDefault="007E5324">
            <w:pPr>
              <w:spacing w:after="1" w:line="200" w:lineRule="atLeast"/>
              <w:jc w:val="center"/>
              <w:rPr>
                <w:highlight w:val="cyan"/>
              </w:rPr>
            </w:pPr>
            <w:r w:rsidRPr="00C727D4">
              <w:rPr>
                <w:rFonts w:ascii="Arial" w:hAnsi="Arial" w:cs="Arial"/>
                <w:b/>
                <w:sz w:val="20"/>
                <w:highlight w:val="cyan"/>
              </w:rPr>
              <w:t>26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</w:tr>
      <w:tr w:rsidR="007E5324"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</w:pPr>
            <w:r>
              <w:rPr>
                <w:rFonts w:ascii="Arial" w:hAnsi="Arial" w:cs="Arial"/>
                <w:sz w:val="20"/>
              </w:rPr>
              <w:t>Номера недель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E5324" w:rsidRDefault="007E5324">
            <w:pPr>
              <w:spacing w:after="1" w:line="200" w:lineRule="atLeast"/>
              <w:jc w:val="center"/>
            </w:pPr>
          </w:p>
        </w:tc>
        <w:bookmarkStart w:id="1" w:name="_GoBack"/>
        <w:bookmarkEnd w:id="1"/>
      </w:tr>
    </w:tbl>
    <w:p w:rsidR="007E5324" w:rsidRDefault="007E5324">
      <w:pPr>
        <w:spacing w:after="1" w:line="200" w:lineRule="atLeast"/>
        <w:jc w:val="both"/>
      </w:pPr>
    </w:p>
    <w:p w:rsidR="007E5324" w:rsidRDefault="007E5324">
      <w:pPr>
        <w:spacing w:after="1" w:line="200" w:lineRule="atLeast"/>
        <w:jc w:val="both"/>
      </w:pPr>
    </w:p>
    <w:p w:rsidR="007E5324" w:rsidRDefault="007E5324">
      <w:pPr>
        <w:spacing w:after="1" w:line="200" w:lineRule="atLeast"/>
        <w:ind w:firstLine="540"/>
        <w:jc w:val="both"/>
      </w:pPr>
      <w:r>
        <w:rPr>
          <w:rFonts w:ascii="Arial" w:hAnsi="Arial" w:cs="Arial"/>
          <w:sz w:val="20"/>
        </w:rPr>
        <w:t>--------------------------------</w:t>
      </w:r>
    </w:p>
    <w:p w:rsidR="00C727D4" w:rsidRDefault="00C727D4" w:rsidP="00C727D4">
      <w:pPr>
        <w:spacing w:before="200" w:after="1" w:line="200" w:lineRule="atLeast"/>
        <w:ind w:firstLine="540"/>
        <w:jc w:val="both"/>
        <w:rPr>
          <w:rFonts w:ascii="Arial" w:hAnsi="Arial" w:cs="Arial"/>
          <w:b/>
          <w:sz w:val="20"/>
        </w:rPr>
      </w:pPr>
      <w:bookmarkStart w:id="2" w:name="P548"/>
      <w:bookmarkEnd w:id="2"/>
      <w:r w:rsidRPr="008A65CC">
        <w:rPr>
          <w:rFonts w:ascii="Arial" w:hAnsi="Arial" w:cs="Arial"/>
          <w:b/>
          <w:sz w:val="20"/>
          <w:highlight w:val="yellow"/>
        </w:rPr>
        <w:t>&lt;*&gt; Предпраздничные дни, в которые продолжительность работы сокращается на один час</w:t>
      </w:r>
      <w:r>
        <w:rPr>
          <w:rFonts w:ascii="Arial" w:hAnsi="Arial" w:cs="Arial"/>
          <w:b/>
          <w:sz w:val="20"/>
        </w:rPr>
        <w:t xml:space="preserve"> </w:t>
      </w:r>
      <w:r w:rsidRPr="008A65CC">
        <w:rPr>
          <w:rFonts w:ascii="Arial" w:hAnsi="Arial" w:cs="Arial"/>
          <w:b/>
          <w:sz w:val="20"/>
          <w:highlight w:val="yellow"/>
        </w:rPr>
        <w:t>для работников, у которых в трудовом договоре написано: «Продолжительность рабочего времени».</w:t>
      </w:r>
      <w:r>
        <w:rPr>
          <w:rFonts w:ascii="Arial" w:hAnsi="Arial" w:cs="Arial"/>
          <w:b/>
          <w:sz w:val="20"/>
        </w:rPr>
        <w:t xml:space="preserve"> </w:t>
      </w:r>
    </w:p>
    <w:p w:rsidR="00C727D4" w:rsidRDefault="00C727D4" w:rsidP="00C727D4">
      <w:pPr>
        <w:spacing w:before="200" w:after="1" w:line="200" w:lineRule="atLeast"/>
        <w:ind w:firstLine="540"/>
        <w:jc w:val="both"/>
        <w:rPr>
          <w:rFonts w:ascii="Arial" w:hAnsi="Arial" w:cs="Arial"/>
          <w:b/>
          <w:sz w:val="20"/>
        </w:rPr>
      </w:pPr>
      <w:r w:rsidRPr="008A65CC">
        <w:rPr>
          <w:rFonts w:ascii="Arial" w:hAnsi="Arial" w:cs="Arial"/>
          <w:b/>
          <w:sz w:val="20"/>
          <w:highlight w:val="yellow"/>
        </w:rPr>
        <w:t>Для работников, у которых в трудовом договоре прописана не продолжительность рабочего времени, а норма часов в неделю (год), положение о сокращении продолжительности работы на таких работников не распространяется.</w:t>
      </w:r>
    </w:p>
    <w:p w:rsidR="007E5324" w:rsidRDefault="007E5324">
      <w:pPr>
        <w:spacing w:after="1" w:line="200" w:lineRule="atLeast"/>
        <w:jc w:val="both"/>
      </w:pPr>
    </w:p>
    <w:p w:rsidR="00C727D4" w:rsidRDefault="00C727D4" w:rsidP="00C727D4">
      <w:pPr>
        <w:spacing w:before="200" w:after="1" w:line="200" w:lineRule="atLeast"/>
        <w:ind w:firstLine="540"/>
        <w:jc w:val="both"/>
        <w:rPr>
          <w:rFonts w:ascii="Arial" w:hAnsi="Arial" w:cs="Arial"/>
          <w:b/>
          <w:color w:val="FF0000"/>
          <w:sz w:val="20"/>
        </w:rPr>
      </w:pPr>
      <w:r w:rsidRPr="008A65CC">
        <w:rPr>
          <w:rFonts w:ascii="Arial" w:hAnsi="Arial" w:cs="Arial"/>
          <w:b/>
          <w:color w:val="FF0000"/>
          <w:sz w:val="20"/>
        </w:rPr>
        <w:t>«1»</w:t>
      </w:r>
      <w:r>
        <w:rPr>
          <w:rFonts w:ascii="Arial" w:hAnsi="Arial" w:cs="Arial"/>
          <w:b/>
          <w:color w:val="FF0000"/>
          <w:sz w:val="20"/>
        </w:rPr>
        <w:t xml:space="preserve"> - праздничные дни.</w:t>
      </w:r>
    </w:p>
    <w:p w:rsidR="007E5324" w:rsidRDefault="007E5324">
      <w:pPr>
        <w:spacing w:after="1" w:line="200" w:lineRule="atLeast"/>
        <w:jc w:val="both"/>
      </w:pPr>
    </w:p>
    <w:p w:rsidR="00C727D4" w:rsidRPr="008A65CC" w:rsidRDefault="00C727D4" w:rsidP="00C727D4">
      <w:pPr>
        <w:spacing w:before="200" w:after="1" w:line="200" w:lineRule="atLeast"/>
        <w:ind w:firstLine="540"/>
        <w:jc w:val="both"/>
        <w:rPr>
          <w:rFonts w:ascii="Arial" w:hAnsi="Arial" w:cs="Arial"/>
          <w:b/>
          <w:sz w:val="20"/>
        </w:rPr>
      </w:pPr>
      <w:r w:rsidRPr="00C727D4">
        <w:rPr>
          <w:rFonts w:ascii="Arial" w:hAnsi="Arial" w:cs="Arial"/>
          <w:b/>
          <w:sz w:val="20"/>
          <w:highlight w:val="cyan"/>
        </w:rPr>
        <w:t xml:space="preserve">«1» - выходные дни – в табеле рабочего времени это выходные дни для работающих </w:t>
      </w:r>
      <w:r>
        <w:rPr>
          <w:rFonts w:ascii="Arial" w:hAnsi="Arial" w:cs="Arial"/>
          <w:b/>
          <w:sz w:val="20"/>
          <w:highlight w:val="cyan"/>
        </w:rPr>
        <w:t>шес</w:t>
      </w:r>
      <w:r w:rsidRPr="00C727D4">
        <w:rPr>
          <w:rFonts w:ascii="Arial" w:hAnsi="Arial" w:cs="Arial"/>
          <w:b/>
          <w:sz w:val="20"/>
          <w:highlight w:val="cyan"/>
        </w:rPr>
        <w:t>тидневку</w:t>
      </w:r>
    </w:p>
    <w:p w:rsidR="007E5324" w:rsidRDefault="007E5324">
      <w:pPr>
        <w:spacing w:after="1" w:line="200" w:lineRule="atLeast"/>
        <w:jc w:val="both"/>
      </w:pPr>
    </w:p>
    <w:sectPr w:rsidR="007E5324" w:rsidSect="008A65CC"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7D4" w:rsidRDefault="00C727D4" w:rsidP="00C727D4">
      <w:pPr>
        <w:spacing w:after="0" w:line="240" w:lineRule="auto"/>
      </w:pPr>
      <w:r>
        <w:separator/>
      </w:r>
    </w:p>
  </w:endnote>
  <w:endnote w:type="continuationSeparator" w:id="0">
    <w:p w:rsidR="00C727D4" w:rsidRDefault="00C727D4" w:rsidP="00C7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7D4" w:rsidRDefault="00C727D4" w:rsidP="00C727D4">
      <w:pPr>
        <w:spacing w:after="0" w:line="240" w:lineRule="auto"/>
      </w:pPr>
      <w:r>
        <w:separator/>
      </w:r>
    </w:p>
  </w:footnote>
  <w:footnote w:type="continuationSeparator" w:id="0">
    <w:p w:rsidR="00C727D4" w:rsidRDefault="00C727D4" w:rsidP="00C727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24"/>
    <w:rsid w:val="002E5ACB"/>
    <w:rsid w:val="007E5324"/>
    <w:rsid w:val="008A65CC"/>
    <w:rsid w:val="00C727D4"/>
    <w:rsid w:val="00E3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BB78D-F472-47DF-916F-7C02ADDC4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7D4"/>
  </w:style>
  <w:style w:type="paragraph" w:styleId="a5">
    <w:name w:val="footer"/>
    <w:basedOn w:val="a"/>
    <w:link w:val="a6"/>
    <w:uiPriority w:val="99"/>
    <w:unhideWhenUsed/>
    <w:rsid w:val="00C727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75CF25760C434B29D207676FC4325A95D75EBB99F04EB2274C2F92D4615FE0E3E8B46C5DE718DEDCA9204A721e2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B75CF25760C434B29D207676FC4325A95F73E7B29F04EB2274C2F92D4615FE1C3ED34ACFDA6B86BD85D451AB194E5D9A09C12406BC2Ae6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75CF25760C434B29D207676FC4325A95F73E7B29F04EB2274C2F92D4615FE1C3ED34ACFDA6C86BD85D451AB194E5D9A09C12406BC2Ae6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3842473FD4F09139A14350CB0A35B22B7BA8F97E1A6000F334F7D809EFD6CA06E0BE9C3CAC628A6180B4EF7A3WAlE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3842473FD4F09139A14350CB0A35B22B7B8899BEAA6000F334F7D809EFD6CA07C0BB1CFC0C232AD484408A2AFA52E2DA82C0D046C3FW9l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2019-04-24T12:27:00Z</dcterms:created>
  <dcterms:modified xsi:type="dcterms:W3CDTF">2019-04-24T12:58:00Z</dcterms:modified>
</cp:coreProperties>
</file>