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A5E2" w14:textId="77777777" w:rsidR="00190AD5" w:rsidRDefault="00190AD5" w:rsidP="00EF3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Информация</w:t>
      </w:r>
    </w:p>
    <w:p w14:paraId="205DD1AE" w14:textId="0162CEB5" w:rsidR="00190AD5" w:rsidRDefault="00190AD5" w:rsidP="00EF30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реализации в 2020 году Указов Президента Российской Федерации от 2012 года в части достижения целевых показателей повышения заработной платы отдельных категорий педагогических работников ( кроме ППС)</w:t>
      </w:r>
    </w:p>
    <w:p w14:paraId="4E9E0B5F" w14:textId="77777777" w:rsidR="00EF3065" w:rsidRPr="00190AD5" w:rsidRDefault="00EF3065" w:rsidP="00EF3065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Пояснения:</w:t>
      </w:r>
    </w:p>
    <w:p w14:paraId="57DACCA6" w14:textId="019133B6" w:rsidR="004C721F" w:rsidRPr="00190AD5" w:rsidRDefault="00EF3065" w:rsidP="00EF30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AD5">
        <w:rPr>
          <w:rFonts w:ascii="Times New Roman" w:hAnsi="Times New Roman" w:cs="Times New Roman"/>
          <w:i/>
          <w:sz w:val="20"/>
          <w:szCs w:val="20"/>
        </w:rPr>
        <w:t xml:space="preserve">В таблице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жирным красным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шрифтом выделены субъекты РФ, в которых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отклонение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от целевого показателя составило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свыше допустимых 5%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(в том числе в которых и предпринимались, и не предпринимались меры по повышению должностных окладов и /или индексации заработной платы).</w:t>
      </w:r>
    </w:p>
    <w:p w14:paraId="1AF90788" w14:textId="2CC2A1B5" w:rsidR="00EF3065" w:rsidRPr="00190AD5" w:rsidRDefault="00EF3065" w:rsidP="00EF30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Синим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цветом выделены субъекты РФ, в которых заработная плата не достигла целевого значения показателя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(отклонение на 1% и более)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а также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0AD5">
        <w:rPr>
          <w:rFonts w:ascii="Times New Roman" w:hAnsi="Times New Roman" w:cs="Times New Roman"/>
          <w:b/>
          <w:bCs/>
          <w:i/>
          <w:sz w:val="20"/>
          <w:szCs w:val="20"/>
        </w:rPr>
        <w:t>не предпринимались меры</w:t>
      </w:r>
      <w:r w:rsidRPr="00190AD5">
        <w:rPr>
          <w:rFonts w:ascii="Times New Roman" w:hAnsi="Times New Roman" w:cs="Times New Roman"/>
          <w:i/>
          <w:sz w:val="20"/>
          <w:szCs w:val="20"/>
        </w:rPr>
        <w:t xml:space="preserve"> по повышению должностных окладов и/или индексации заработной платы</w:t>
      </w:r>
      <w:r w:rsidR="00553F8F" w:rsidRPr="00190AD5">
        <w:rPr>
          <w:rFonts w:ascii="Times New Roman" w:hAnsi="Times New Roman" w:cs="Times New Roman"/>
          <w:i/>
          <w:sz w:val="20"/>
          <w:szCs w:val="20"/>
        </w:rPr>
        <w:t xml:space="preserve"> (выделяла </w:t>
      </w:r>
      <w:r w:rsidR="002F351E" w:rsidRPr="00190AD5">
        <w:rPr>
          <w:rFonts w:ascii="Times New Roman" w:hAnsi="Times New Roman" w:cs="Times New Roman"/>
          <w:i/>
          <w:sz w:val="20"/>
          <w:szCs w:val="20"/>
        </w:rPr>
        <w:t xml:space="preserve">только </w:t>
      </w:r>
      <w:r w:rsidR="00553F8F" w:rsidRPr="00190AD5">
        <w:rPr>
          <w:rFonts w:ascii="Times New Roman" w:hAnsi="Times New Roman" w:cs="Times New Roman"/>
          <w:i/>
          <w:sz w:val="20"/>
          <w:szCs w:val="20"/>
        </w:rPr>
        <w:t xml:space="preserve">субъекты РФ, </w:t>
      </w:r>
      <w:r w:rsidR="002F351E" w:rsidRPr="00190AD5">
        <w:rPr>
          <w:rFonts w:ascii="Times New Roman" w:hAnsi="Times New Roman" w:cs="Times New Roman"/>
          <w:i/>
          <w:sz w:val="20"/>
          <w:szCs w:val="20"/>
        </w:rPr>
        <w:t xml:space="preserve">соответствующие параметрам и </w:t>
      </w:r>
      <w:r w:rsidR="00553F8F" w:rsidRPr="00190AD5">
        <w:rPr>
          <w:rFonts w:ascii="Times New Roman" w:hAnsi="Times New Roman" w:cs="Times New Roman"/>
          <w:i/>
          <w:sz w:val="20"/>
          <w:szCs w:val="20"/>
        </w:rPr>
        <w:t>принявшие участие в мониторинге).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4372"/>
        <w:gridCol w:w="1843"/>
        <w:gridCol w:w="1985"/>
      </w:tblGrid>
      <w:tr w:rsidR="00EF3065" w:rsidRPr="009151B8" w14:paraId="1D0A9938" w14:textId="77777777" w:rsidTr="001E013D">
        <w:trPr>
          <w:trHeight w:val="557"/>
        </w:trPr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14:paraId="3687DB92" w14:textId="287BB2CA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  <w:r w:rsidR="00195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которых значение целевого показателя не достигнуто</w:t>
            </w:r>
          </w:p>
        </w:tc>
        <w:tc>
          <w:tcPr>
            <w:tcW w:w="8200" w:type="dxa"/>
            <w:gridSpan w:val="3"/>
            <w:shd w:val="clear" w:color="auto" w:fill="auto"/>
            <w:vAlign w:val="center"/>
            <w:hideMark/>
          </w:tcPr>
          <w:p w14:paraId="14FF3114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EF3065" w:rsidRPr="009151B8" w14:paraId="2ED89C18" w14:textId="77777777" w:rsidTr="001E013D">
        <w:trPr>
          <w:trHeight w:val="1418"/>
        </w:trPr>
        <w:tc>
          <w:tcPr>
            <w:tcW w:w="1860" w:type="dxa"/>
            <w:vMerge/>
            <w:vAlign w:val="center"/>
            <w:hideMark/>
          </w:tcPr>
          <w:p w14:paraId="3AA4C1BA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DA8C1E1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янв.-дек. 2020 г., %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22AF41" w14:textId="77777777" w:rsidR="00EF3065" w:rsidRPr="00D0553B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ставок заработной платы (должностных окладов) в 2020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A1447" w14:textId="77777777" w:rsidR="00EF3065" w:rsidRPr="00D0553B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Индексация заработной платы в 2020 г.</w:t>
            </w:r>
          </w:p>
        </w:tc>
      </w:tr>
      <w:tr w:rsidR="00EF3065" w:rsidRPr="009151B8" w14:paraId="78381FB9" w14:textId="77777777" w:rsidTr="001E013D">
        <w:trPr>
          <w:trHeight w:val="312"/>
        </w:trPr>
        <w:tc>
          <w:tcPr>
            <w:tcW w:w="1860" w:type="dxa"/>
            <w:shd w:val="clear" w:color="auto" w:fill="auto"/>
            <w:vAlign w:val="center"/>
          </w:tcPr>
          <w:p w14:paraId="46E91651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4372" w:type="dxa"/>
            <w:shd w:val="clear" w:color="auto" w:fill="auto"/>
            <w:noWrap/>
            <w:vAlign w:val="center"/>
          </w:tcPr>
          <w:p w14:paraId="7709F3D8" w14:textId="77777777" w:rsidR="00EF3065" w:rsidRPr="00B731E1" w:rsidRDefault="00EF3065" w:rsidP="001E01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C9E2D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AD162A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065" w:rsidRPr="009151B8" w14:paraId="606B5C8F" w14:textId="77777777" w:rsidTr="001E013D">
        <w:trPr>
          <w:trHeight w:val="312"/>
        </w:trPr>
        <w:tc>
          <w:tcPr>
            <w:tcW w:w="1860" w:type="dxa"/>
            <w:shd w:val="clear" w:color="auto" w:fill="auto"/>
            <w:vAlign w:val="center"/>
            <w:hideMark/>
          </w:tcPr>
          <w:p w14:paraId="1C25ED93" w14:textId="6DBC5C51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  <w:r w:rsidR="0019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7617F37F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E539D6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89364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065" w:rsidRPr="009151B8" w14:paraId="5F28AB9C" w14:textId="77777777" w:rsidTr="001E013D">
        <w:trPr>
          <w:trHeight w:val="528"/>
        </w:trPr>
        <w:tc>
          <w:tcPr>
            <w:tcW w:w="1860" w:type="dxa"/>
            <w:shd w:val="clear" w:color="auto" w:fill="auto"/>
            <w:vAlign w:val="center"/>
            <w:hideMark/>
          </w:tcPr>
          <w:p w14:paraId="11CAD61C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2D84A2D3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674A66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9E0B6A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F3065" w:rsidRPr="009151B8" w14:paraId="6B41E00B" w14:textId="77777777" w:rsidTr="001E013D">
        <w:trPr>
          <w:trHeight w:val="312"/>
        </w:trPr>
        <w:tc>
          <w:tcPr>
            <w:tcW w:w="1860" w:type="dxa"/>
            <w:shd w:val="clear" w:color="auto" w:fill="auto"/>
            <w:vAlign w:val="center"/>
            <w:hideMark/>
          </w:tcPr>
          <w:p w14:paraId="364C722A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2DC47DB7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17A1C1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565DF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065" w:rsidRPr="009151B8" w14:paraId="4532EA41" w14:textId="77777777" w:rsidTr="001E013D">
        <w:trPr>
          <w:trHeight w:val="312"/>
        </w:trPr>
        <w:tc>
          <w:tcPr>
            <w:tcW w:w="1860" w:type="dxa"/>
            <w:shd w:val="clear" w:color="auto" w:fill="auto"/>
            <w:vAlign w:val="center"/>
            <w:hideMark/>
          </w:tcPr>
          <w:p w14:paraId="593D0380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14BC28EF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7B0DBA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A5530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065" w:rsidRPr="009151B8" w14:paraId="4F7DC843" w14:textId="77777777" w:rsidTr="001E013D">
        <w:trPr>
          <w:trHeight w:val="312"/>
        </w:trPr>
        <w:tc>
          <w:tcPr>
            <w:tcW w:w="1860" w:type="dxa"/>
            <w:shd w:val="clear" w:color="auto" w:fill="auto"/>
            <w:vAlign w:val="center"/>
            <w:hideMark/>
          </w:tcPr>
          <w:p w14:paraId="4D5194F5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4DCC5092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3BDB83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10EB3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3065" w:rsidRPr="009151B8" w14:paraId="7D8B35CA" w14:textId="77777777" w:rsidTr="001E013D">
        <w:trPr>
          <w:trHeight w:val="528"/>
        </w:trPr>
        <w:tc>
          <w:tcPr>
            <w:tcW w:w="1860" w:type="dxa"/>
            <w:shd w:val="clear" w:color="auto" w:fill="auto"/>
            <w:vAlign w:val="center"/>
            <w:hideMark/>
          </w:tcPr>
          <w:p w14:paraId="27788703" w14:textId="77777777" w:rsidR="00EF3065" w:rsidRPr="009151B8" w:rsidRDefault="00EF3065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55E03B4E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50088A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644A83" w14:textId="77777777" w:rsidR="00EF3065" w:rsidRPr="009151B8" w:rsidRDefault="00EF3065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64BE9BF" w14:textId="4E1B1704" w:rsidR="00195A6A" w:rsidRPr="00195A6A" w:rsidRDefault="00195A6A" w:rsidP="00195A6A">
      <w:pPr>
        <w:rPr>
          <w:rFonts w:ascii="Times New Roman" w:hAnsi="Times New Roman" w:cs="Times New Roman"/>
          <w:sz w:val="20"/>
          <w:szCs w:val="20"/>
        </w:rPr>
      </w:pPr>
      <w:r w:rsidRPr="00195A6A">
        <w:rPr>
          <w:rFonts w:ascii="Times New Roman" w:hAnsi="Times New Roman" w:cs="Times New Roman"/>
          <w:sz w:val="20"/>
          <w:szCs w:val="20"/>
        </w:rPr>
        <w:t>*Не участвовали в мониторинге</w:t>
      </w:r>
    </w:p>
    <w:p w14:paraId="7D8523C9" w14:textId="77777777" w:rsidR="009151B8" w:rsidRPr="00DA6422" w:rsidRDefault="009151B8" w:rsidP="0091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Отношение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заработной платы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педагогических работников образовательных организаций общего образования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январе-декабре 2020 года в среднем по Российской Федерации составило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103,1%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(целевое значение соотношения, установленное Программой на 2018 год – 100%).</w:t>
      </w:r>
    </w:p>
    <w:p w14:paraId="77BAE369" w14:textId="77777777" w:rsidR="009151B8" w:rsidRPr="00DA6422" w:rsidRDefault="009151B8" w:rsidP="00DA6422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Уровень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средней заработной платы педагогических ра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ботников образовательных организаций общего образования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достиг или превы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oftHyphen/>
        <w:t>сил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целевое значение показателя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79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субъектах РФ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34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 превышение целе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45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субъектах РФ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свыше 5%. </w:t>
      </w:r>
    </w:p>
    <w:p w14:paraId="57B31A9F" w14:textId="77777777" w:rsidR="009151B8" w:rsidRPr="00DA6422" w:rsidRDefault="009151B8" w:rsidP="00915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Максимальное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превышение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значения целевого показателя от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мечено в г. Севастополе –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31,5%.</w:t>
      </w:r>
    </w:p>
    <w:p w14:paraId="0D1119C3" w14:textId="6BDF18D6" w:rsidR="009151B8" w:rsidRPr="00DA6422" w:rsidRDefault="009151B8" w:rsidP="00DA6422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В 6 субъектах РФ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уровень средней заработной платы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педагогических работников образовательных организаций общего образования </w:t>
      </w: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не достиг целевого значения показателя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4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отклонение от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допустимых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в 2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субъектах РФ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– свыше 5%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(Республика Тыва и Забайкальский край). По результат</w:t>
      </w:r>
      <w:r w:rsidR="00700D1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ам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мониторинга, проведенного Общероссийским Профсоюзом образования в феврале-марте 2021 года, меры, направленные на повышение должностных окладов и/или индексацию заработной платы работников в данных субъектах РФ не пр</w:t>
      </w:r>
      <w:r w:rsidR="003732B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инимались.</w:t>
      </w:r>
    </w:p>
    <w:p w14:paraId="6415F2B4" w14:textId="46063FCB" w:rsidR="009151B8" w:rsidRPr="00DA6422" w:rsidRDefault="009151B8" w:rsidP="009151B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Максимальное отклонение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значения целевого показателя отмечено в Забайкальском крае –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6,7%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CA26B5" w14:textId="77777777" w:rsidR="00195A6A" w:rsidRPr="00DA6422" w:rsidRDefault="00195A6A" w:rsidP="009151B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405"/>
        <w:gridCol w:w="1985"/>
        <w:gridCol w:w="2551"/>
      </w:tblGrid>
      <w:tr w:rsidR="00856A64" w:rsidRPr="00B731E1" w14:paraId="5B573BCA" w14:textId="77777777" w:rsidTr="00BA02B7">
        <w:trPr>
          <w:trHeight w:val="528"/>
        </w:trPr>
        <w:tc>
          <w:tcPr>
            <w:tcW w:w="2260" w:type="dxa"/>
            <w:vMerge w:val="restart"/>
            <w:shd w:val="clear" w:color="auto" w:fill="auto"/>
            <w:vAlign w:val="center"/>
          </w:tcPr>
          <w:p w14:paraId="610D3F8A" w14:textId="5DC2FDEB" w:rsidR="00856A64" w:rsidRPr="00B731E1" w:rsidRDefault="00195A6A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которых значение целевого показателя не достигнуто</w:t>
            </w:r>
          </w:p>
        </w:tc>
        <w:tc>
          <w:tcPr>
            <w:tcW w:w="7941" w:type="dxa"/>
            <w:gridSpan w:val="3"/>
            <w:shd w:val="clear" w:color="auto" w:fill="auto"/>
            <w:noWrap/>
            <w:vAlign w:val="center"/>
          </w:tcPr>
          <w:p w14:paraId="04E83573" w14:textId="11D61F7C" w:rsidR="00856A64" w:rsidRPr="00856A64" w:rsidRDefault="00856A64" w:rsidP="008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r w:rsidRPr="0085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85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мастер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856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производственного обучения организаций, реализующих программы профессионального образования</w:t>
            </w:r>
            <w:r w:rsidRPr="00856A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B731E1" w:rsidRPr="00B731E1" w14:paraId="6EC0D3EB" w14:textId="77777777" w:rsidTr="00BA02B7">
        <w:trPr>
          <w:trHeight w:val="528"/>
        </w:trPr>
        <w:tc>
          <w:tcPr>
            <w:tcW w:w="2260" w:type="dxa"/>
            <w:vMerge/>
            <w:shd w:val="clear" w:color="auto" w:fill="auto"/>
            <w:vAlign w:val="center"/>
          </w:tcPr>
          <w:p w14:paraId="41364A76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noWrap/>
            <w:vAlign w:val="center"/>
          </w:tcPr>
          <w:p w14:paraId="5AD37A84" w14:textId="498BF841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янв.-дек. 2020 г., %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0FF822" w14:textId="19BFBA05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ставок заработной платы (должностных окладов)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5AF3CEB" w14:textId="6B501493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Индексация заработной платы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B731E1" w:rsidRPr="00B731E1" w14:paraId="3AC582F6" w14:textId="77777777" w:rsidTr="00B731E1">
        <w:trPr>
          <w:trHeight w:val="528"/>
        </w:trPr>
        <w:tc>
          <w:tcPr>
            <w:tcW w:w="2260" w:type="dxa"/>
            <w:shd w:val="clear" w:color="auto" w:fill="auto"/>
            <w:vAlign w:val="center"/>
            <w:hideMark/>
          </w:tcPr>
          <w:p w14:paraId="1F31DF64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5753B2BA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F99CBA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B95383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31E1" w:rsidRPr="00B731E1" w14:paraId="5C013705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463DDDF3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4E789129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E6D587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341B1F" w14:textId="084B0974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35498F39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35A8B4F3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2432AAF7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8E6A47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DF39936" w14:textId="41B659CB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326CA836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6208590B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754CE4F1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89,8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169577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CB75A2" w14:textId="0B9F927F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3692D43C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0D7DE9BA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327C2A56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5BB84D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D0EFF8" w14:textId="03C3CC23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580DB713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39E4E527" w14:textId="77777777" w:rsidR="00B731E1" w:rsidRPr="00B731E1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1D37DD77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71A78A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0C4708" w14:textId="097AFE76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78744E99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21354472" w14:textId="77777777" w:rsidR="00B731E1" w:rsidRPr="00700D19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138F9C83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E07DC1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5C068E" w14:textId="4E809AA1" w:rsidR="00B731E1" w:rsidRPr="00B731E1" w:rsidRDefault="00150BA2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1E1" w:rsidRPr="00B731E1" w14:paraId="4F163365" w14:textId="77777777" w:rsidTr="00150BA2">
        <w:trPr>
          <w:trHeight w:val="312"/>
        </w:trPr>
        <w:tc>
          <w:tcPr>
            <w:tcW w:w="2260" w:type="dxa"/>
            <w:shd w:val="clear" w:color="auto" w:fill="auto"/>
            <w:vAlign w:val="center"/>
            <w:hideMark/>
          </w:tcPr>
          <w:p w14:paraId="20F83BB2" w14:textId="77777777" w:rsidR="00B731E1" w:rsidRPr="00700D19" w:rsidRDefault="00B731E1" w:rsidP="00B7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3405" w:type="dxa"/>
            <w:shd w:val="clear" w:color="auto" w:fill="auto"/>
            <w:noWrap/>
            <w:vAlign w:val="center"/>
            <w:hideMark/>
          </w:tcPr>
          <w:p w14:paraId="6E16D5BB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BB2AAB" w14:textId="77777777" w:rsidR="00B731E1" w:rsidRPr="00B731E1" w:rsidRDefault="00B731E1" w:rsidP="00B7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8A4A337" w14:textId="1DC777C9" w:rsidR="00B731E1" w:rsidRPr="00B731E1" w:rsidRDefault="00B731E1" w:rsidP="001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5CCBA7" w14:textId="77777777" w:rsidR="00856A64" w:rsidRPr="00DA6422" w:rsidRDefault="00856A64" w:rsidP="00856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Отношение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заработной платы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январе-декабре 2020 года в среднем по Российской Федерации составило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98,4%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(целевое значение соотношения, установленное Программой на 2018 год – 100%).</w:t>
      </w:r>
    </w:p>
    <w:p w14:paraId="3CFD7E9D" w14:textId="794BA26B" w:rsidR="00856A64" w:rsidRPr="00DA6422" w:rsidRDefault="00856A64" w:rsidP="00DA6422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78 субъектах РФ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уровень средней заработной платы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преподавателей и мастеров производственного обучения организаций,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реализующих программы профес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сионального образования,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достиг или превысил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целевое значение показателя.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24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превышение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54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субъектах РФ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свыше 5%.</w:t>
      </w:r>
    </w:p>
    <w:p w14:paraId="63EF28AC" w14:textId="65A2D450" w:rsidR="00856A64" w:rsidRPr="00DA6422" w:rsidRDefault="00856A64" w:rsidP="00856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Максимальное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превышение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значения целевого показателя отмечено в г. Москва –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28,7%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BFF1D3" w14:textId="525B6155" w:rsidR="00881BB8" w:rsidRPr="00DA6422" w:rsidRDefault="00856A64" w:rsidP="0088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7 субъектах РФ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уровень средней заработной платы преподавателей и мастеров производственного обучения организаций,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реализующих программы профессионального образования,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не достиг целевого значения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показателя.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6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отклонение от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допустимых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в 1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субъекте РФ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– свыше 5%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(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Республике Тыва – на 10,2%).</w:t>
      </w:r>
      <w:r w:rsidR="00881BB8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4A61B801" w14:textId="536A43AE" w:rsidR="00881BB8" w:rsidRPr="00DA6422" w:rsidRDefault="00881BB8" w:rsidP="00881B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По результат</w:t>
      </w:r>
      <w:r w:rsidR="00700D1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ам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мониторинга, проведенного Общероссийским Профсоюзом образования в феврале-марте 2021 года, меры, направленные на повышение должностных окладов и/или индексацию заработной платы работников в данном субъекте РФ не пр</w:t>
      </w:r>
      <w:r w:rsidR="003732B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инимались.</w:t>
      </w:r>
    </w:p>
    <w:p w14:paraId="7B3E538F" w14:textId="21188CFD" w:rsidR="00A53A38" w:rsidRPr="00DA6422" w:rsidRDefault="00A53A38" w:rsidP="00881B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300"/>
        <w:gridCol w:w="4216"/>
        <w:gridCol w:w="1843"/>
        <w:gridCol w:w="1701"/>
      </w:tblGrid>
      <w:tr w:rsidR="00A53A38" w:rsidRPr="00BA02B7" w14:paraId="7CCA9E26" w14:textId="77777777" w:rsidTr="00700D19">
        <w:trPr>
          <w:trHeight w:val="312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C8B5" w14:textId="22FA2303" w:rsidR="00A53A38" w:rsidRPr="00BA02B7" w:rsidRDefault="007A449C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которых значение целевого показателя не достигнуто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D4E8" w14:textId="4CEC1E26" w:rsidR="00A53A38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r w:rsidRPr="007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едагогически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</w:t>
            </w:r>
            <w:r w:rsidRPr="007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</w:t>
            </w:r>
            <w:r w:rsidRPr="007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дошкольных образовательных организаций</w:t>
            </w:r>
          </w:p>
        </w:tc>
      </w:tr>
      <w:tr w:rsidR="00A53A38" w:rsidRPr="00BA02B7" w14:paraId="663B5AF2" w14:textId="77777777" w:rsidTr="00700D19">
        <w:trPr>
          <w:trHeight w:val="312"/>
          <w:tblHeader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1BC3" w14:textId="2EED3B41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426" w14:textId="2005CCAC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ср. з/п в общеобразовательных организациях в субъекте РФ в янв.-дек. 2020 г.,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AF5" w14:textId="7D3F9B8E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ставок заработной платы (должностных окладов)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BCF9" w14:textId="10E45D1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Индексация заработной платы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A53A38" w:rsidRPr="00BA02B7" w14:paraId="259BC8FF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1F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9BA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498" w14:textId="270CCBF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969C" w14:textId="30F9DA8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3B9F584F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ECF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2AD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BD3" w14:textId="7C4193C1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9F04" w14:textId="7ACE5915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093B1CC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234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71F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053" w14:textId="593C7223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BA4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53A38" w:rsidRPr="00BA02B7" w14:paraId="001A19A3" w14:textId="77777777" w:rsidTr="00A53A38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9D1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E07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95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D83" w14:textId="7EF39E2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5809516C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3D30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C0A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190" w14:textId="630623A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4E9A" w14:textId="7D931C4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44705F0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02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2C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1D3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2EE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53A38" w:rsidRPr="00BA02B7" w14:paraId="7CA4D7D7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05A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33D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04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2F2E" w14:textId="0FB0C2BC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6BDA6E16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508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C8C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9C9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AAC" w14:textId="0B2B725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6027A35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78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F7F3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848" w14:textId="77777777" w:rsidR="00A53A38" w:rsidRPr="00EF3065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EF306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8F9" w14:textId="77777777" w:rsidR="00A53A38" w:rsidRPr="00EF3065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EF3065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6BC51DE0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D78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104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09C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41B" w14:textId="1CCEA82F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129C9344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410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5CB1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ED9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32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53A38" w:rsidRPr="00BA02B7" w14:paraId="7FF82F5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33D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318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E02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28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53A38" w:rsidRPr="00BA02B7" w14:paraId="27ACD6E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06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95B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8A0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DC01" w14:textId="3F16E37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24B4303E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8CB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28E8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B7A" w14:textId="6C216EF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B89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3A38" w:rsidRPr="00BA02B7" w14:paraId="212CDF3E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A3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297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2A6" w14:textId="59AB346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4E8" w14:textId="180532B3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14696DCB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186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DC4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7206" w14:textId="1A76BF1E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65A" w14:textId="588E9D51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51D0A274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91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74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A57" w14:textId="723607D6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B98" w14:textId="1DD78DA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302DF73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CFB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8828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EFC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E8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207F6FEB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F54" w14:textId="6D6DACEC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  <w:r w:rsidR="007A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E5E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9B70" w14:textId="71625C0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4F00" w14:textId="6571EF0E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0DBA57BA" w14:textId="77777777" w:rsidTr="00A53A38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7B2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2E4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ECB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D9F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346AC3AB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1AD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226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6F6" w14:textId="5EECDD0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9F58" w14:textId="77777777" w:rsidR="00A53A38" w:rsidRPr="00D0553B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A53A38" w:rsidRPr="00BA02B7" w14:paraId="6B8F4A22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2A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B7BE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98D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5D2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53A38" w:rsidRPr="00BA02B7" w14:paraId="057A504F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FA2D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C0F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3302" w14:textId="3FE73EF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29D" w14:textId="25665348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2BBCF1E4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023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5359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B4E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74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A53A38" w:rsidRPr="00BA02B7" w14:paraId="20A7C59E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C2B" w14:textId="1AA2FE09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3EA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1C0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229" w14:textId="6195BFAE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51A8D613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8A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8B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329D" w14:textId="48E75DD6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4F0" w14:textId="6F07BC9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5228AECB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D6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4D7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194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7F6" w14:textId="16DB1BF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01BE2935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732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71E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4D4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5994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5006D477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0B2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E3B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17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8C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6F5E036E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C1D5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1BD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2E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13D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2D431E2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DBD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8FD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BB53" w14:textId="77777777" w:rsidR="00A53A38" w:rsidRPr="00700D19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304" w14:textId="77777777" w:rsidR="00A53A38" w:rsidRPr="00700D19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67988B43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5DF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1E79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02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CFB" w14:textId="7090541B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D0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53A38" w:rsidRPr="00BA02B7" w14:paraId="239E1484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0A0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A90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3B2F" w14:textId="6ECC993C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4D2" w14:textId="3A1F901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0CEBE6A6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8E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4A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4B2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E5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7B3D184C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3C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F82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EBD" w14:textId="77777777" w:rsidR="00A53A38" w:rsidRPr="00700D19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F70" w14:textId="77777777" w:rsidR="00A53A38" w:rsidRPr="00700D19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5A62B2E9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8ED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CE6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D53" w14:textId="67E71DB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FB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04367552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FFC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A22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8813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801" w14:textId="286BD62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38" w:rsidRPr="00BA02B7" w14:paraId="3F4CF780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DE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491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6C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5C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1B75E29B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E6F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1F24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24F" w14:textId="4C02E2B1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EB4" w14:textId="25BF824F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3A38" w:rsidRPr="00BA02B7" w14:paraId="6EA0FE9C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52A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03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36D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CA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02EB60AA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C80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EA6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07E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AAE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2097EFBC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928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B21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DFBA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90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3A38" w:rsidRPr="00BA02B7" w14:paraId="7FE0EDBF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FF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52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88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B8F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A53A38" w:rsidRPr="00BA02B7" w14:paraId="38F83CA0" w14:textId="77777777" w:rsidTr="00D0553B">
        <w:trPr>
          <w:trHeight w:val="34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1E1" w14:textId="6BF790D5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A90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18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6A9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32952553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7B0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424E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1BB" w14:textId="3EF6DAA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2FD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3A38" w:rsidRPr="00BA02B7" w14:paraId="1846493A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A96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F045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62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DA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53A38" w:rsidRPr="00BA02B7" w14:paraId="735C34E1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81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1872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2A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F7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29EACA3B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94F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A66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03B" w14:textId="1F2F1D3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F8E" w14:textId="6D80E46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2C59AE4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5C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CD62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778" w14:textId="04C7355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9A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A53A38" w:rsidRPr="00BA02B7" w14:paraId="5F4518FB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5F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5FD7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F72" w14:textId="6954F522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210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A53A38" w:rsidRPr="00BA02B7" w14:paraId="4D493E4C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5B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3A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407" w14:textId="7B4D0698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D6B" w14:textId="5502EEF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545D83F8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DF1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525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C13B" w14:textId="6C96CD1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173" w14:textId="704747F1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5F0E5105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ADF7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3A5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8DD9" w14:textId="799FDF2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465" w14:textId="0541166B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703B3D7A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DD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04A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059" w14:textId="2D05B75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958E" w14:textId="77777777" w:rsidR="00A53A38" w:rsidRPr="00D0553B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A38" w:rsidRPr="00BA02B7" w14:paraId="305A4EE7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9C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0A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E7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E7A" w14:textId="77777777" w:rsidR="00A53A38" w:rsidRPr="00D0553B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53A38" w:rsidRPr="00BA02B7" w14:paraId="369F8AD9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2E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43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E62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227" w14:textId="4F57BF2D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4426E82E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804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B7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2D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0112" w14:textId="744E0620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7BB13255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1FB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8C9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7FB" w14:textId="704DDF3A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065" w14:textId="76799998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3692995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971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9E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8BFF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20E" w14:textId="32066138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251D0129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C4D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5CF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E7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50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0BDB8427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FDC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BD15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AD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8DB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3A38" w:rsidRPr="00BA02B7" w14:paraId="0EBC0760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06E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8DF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889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10,0 и 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EF5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53A38" w:rsidRPr="00BA02B7" w14:paraId="7DA4686C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47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A64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61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127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2084D719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77B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110E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961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B5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0F997804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949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08C5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26A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7998" w14:textId="39CC64B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651C4F7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2FC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37E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F0C" w14:textId="7140328B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BD1" w14:textId="46DFE09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796003C5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1F4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490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A6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942B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6E76D943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7B6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7BB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E1F" w14:textId="15B75EC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19E" w14:textId="36BB463E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A38" w:rsidRPr="00BA02B7" w14:paraId="7398CCCB" w14:textId="77777777" w:rsidTr="00A53A38">
        <w:trPr>
          <w:trHeight w:val="2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C863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148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672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C93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0BCB7493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015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AE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9D7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288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A38" w:rsidRPr="00BA02B7" w14:paraId="0A4EFC0D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E4BA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6553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DD0" w14:textId="49828579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9BF" w14:textId="2F4761B4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1D72C596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559" w14:textId="77777777" w:rsidR="00A53A38" w:rsidRPr="00A53A38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AC5" w14:textId="77777777" w:rsidR="00A53A38" w:rsidRPr="00A53A38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53A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71C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C5E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53A38" w:rsidRPr="00BA02B7" w14:paraId="0E70542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140" w14:textId="77777777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237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7EB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5C6" w14:textId="7777777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A53A38" w:rsidRPr="00BA02B7" w14:paraId="3706A418" w14:textId="77777777" w:rsidTr="00A53A38">
        <w:trPr>
          <w:trHeight w:val="3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0FE" w14:textId="3CE9B912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  <w:r w:rsidR="007A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511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C0D" w14:textId="607BFBB3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A21" w14:textId="0F73DC8B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A38" w:rsidRPr="00BA02B7" w14:paraId="03E83DA2" w14:textId="77777777" w:rsidTr="00A53A38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7BA" w14:textId="7F82F7AA" w:rsidR="00A53A38" w:rsidRPr="00BA02B7" w:rsidRDefault="00A53A38" w:rsidP="00B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  <w:r w:rsidR="007A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473A" w14:textId="77777777" w:rsidR="00A53A38" w:rsidRPr="00BA02B7" w:rsidRDefault="00A53A38" w:rsidP="00B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B7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0C3E" w14:textId="6AE08427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BEB" w14:textId="423ACD32" w:rsidR="00A53A38" w:rsidRPr="00BA02B7" w:rsidRDefault="00A53A38" w:rsidP="00A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9BAE0" w14:textId="77777777" w:rsidR="007A449C" w:rsidRPr="00195A6A" w:rsidRDefault="007A449C" w:rsidP="007A449C">
      <w:pPr>
        <w:rPr>
          <w:rFonts w:ascii="Times New Roman" w:hAnsi="Times New Roman" w:cs="Times New Roman"/>
          <w:sz w:val="20"/>
          <w:szCs w:val="20"/>
        </w:rPr>
      </w:pPr>
      <w:r w:rsidRPr="00195A6A">
        <w:rPr>
          <w:rFonts w:ascii="Times New Roman" w:hAnsi="Times New Roman" w:cs="Times New Roman"/>
          <w:sz w:val="20"/>
          <w:szCs w:val="20"/>
        </w:rPr>
        <w:lastRenderedPageBreak/>
        <w:t>*Не участвовали в мониторинге</w:t>
      </w:r>
    </w:p>
    <w:p w14:paraId="231A57E1" w14:textId="77777777" w:rsidR="00700D19" w:rsidRPr="00DA6422" w:rsidRDefault="00700D19" w:rsidP="00700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Отношение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заработной платы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педагогических работников дошкольных образовательных организаций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средней заработной плате в сфере общего образования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январе-декабре 2020 года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среднем по Российской Федерации составило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90,7%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(целевое значение соотношения, установленное Программой на 2018 год – 100%).</w:t>
      </w:r>
    </w:p>
    <w:p w14:paraId="44AA1C3E" w14:textId="77777777" w:rsidR="00700D19" w:rsidRPr="00DA6422" w:rsidRDefault="00700D19" w:rsidP="00700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18 субъектах РФ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уровень средней заработной платы педагогических работников дошкольных образовательных организаций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достиг или превысил целевое значение показателя.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D0A57A1" w14:textId="77777777" w:rsidR="00700D19" w:rsidRPr="00DA6422" w:rsidRDefault="00700D19" w:rsidP="00700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Максимальное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превышение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значения целевого показателя отмечено в Белгородской области –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4,4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14:paraId="20D0A4EA" w14:textId="0E18B1B5" w:rsidR="00700D19" w:rsidRPr="00DA6422" w:rsidRDefault="00700D19" w:rsidP="00DA6422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В 66 субъектах РФ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уровень средней заработной платы педагогических работников дошкольных образовательных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организаций </w:t>
      </w: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не достиг целевого значения показателя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53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отклонение от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допустимых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в 13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субъектах РФ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– свыше 5%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(республики Ингушетия, Коми, Крым, Северная Осетия-Алания, Тыва, Хакасия, Краснодарский, Пермский, Приморский, Хабаровский края, Псковская, Томская области, г. Севастополь). </w:t>
      </w:r>
    </w:p>
    <w:p w14:paraId="7F536E49" w14:textId="149CBA99" w:rsidR="00700D19" w:rsidRPr="00DA6422" w:rsidRDefault="00700D19" w:rsidP="00700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Максимальное отклонение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значения целевого показателя отмечено в Республике Северная Осетия-Алания –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15,5%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014434" w14:textId="0DBE5D9C" w:rsidR="00700D19" w:rsidRPr="00DA6422" w:rsidRDefault="00700D19" w:rsidP="00DA6422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 результатам мониторинга, проведенного Общероссийским Профсоюзом образования в феврале-марте 2021 года, меры, направленные на повышение должностных окладов и/или индексацию заработной платы работников в 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7  из 13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субъект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ов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РФ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в которых отклонение от целевого значения показателя превысило допустимые 5%,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не предпринимались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(республики Коми, Крым, Тыва, Хакасия, Краснодарский и Приморский края, Томская область)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В 6 из них в течение 2020 года проводилось повышение должностных окладов, ставок заработной платы и/или индексация заработной платы (республики Калмыкия, Северная Осетия-Алания, Пермский и Хабаровский края, Псковская область, г. Севастополь)</w:t>
      </w:r>
      <w:r w:rsidR="00460D0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о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днако, данных мер было недостаточно для сохранения (доведения) средней заработной платы педагогических работников дошкольных образовательных организаций </w:t>
      </w:r>
      <w:r w:rsidR="003732B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до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уровн</w:t>
      </w:r>
      <w:r w:rsidR="003732B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</w:t>
      </w:r>
      <w:r w:rsidR="000B6709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заработной платы работников в сфере общего образования.</w:t>
      </w:r>
    </w:p>
    <w:p w14:paraId="1678B753" w14:textId="301DB4BC" w:rsidR="008216DB" w:rsidRPr="00DA6422" w:rsidRDefault="008216DB" w:rsidP="00DA6422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EAB5201" w14:textId="77777777" w:rsidR="008216DB" w:rsidRPr="00DA6422" w:rsidRDefault="008216DB" w:rsidP="00DA6422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BAF3E98" w14:textId="77777777" w:rsidR="00700D19" w:rsidRDefault="00700D19" w:rsidP="00700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114"/>
        <w:gridCol w:w="2551"/>
        <w:gridCol w:w="2410"/>
        <w:gridCol w:w="1985"/>
      </w:tblGrid>
      <w:tr w:rsidR="008216DB" w:rsidRPr="001E013D" w14:paraId="1F0511F8" w14:textId="77777777" w:rsidTr="00FA555E">
        <w:trPr>
          <w:trHeight w:val="528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4C23" w14:textId="3B3E0268" w:rsidR="008216DB" w:rsidRPr="001E013D" w:rsidRDefault="00343BF4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которых значение целевого показателя не достигнуто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5296" w14:textId="55738202" w:rsidR="008216DB" w:rsidRPr="008216DB" w:rsidRDefault="008216DB" w:rsidP="0082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r w:rsidRPr="0082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едагогически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</w:t>
            </w:r>
            <w:r w:rsidRPr="0082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</w:t>
            </w:r>
            <w:r w:rsidRPr="0082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организаций дополнительного образования детей</w:t>
            </w:r>
          </w:p>
        </w:tc>
      </w:tr>
      <w:tr w:rsidR="008216DB" w:rsidRPr="001E013D" w14:paraId="44096E72" w14:textId="77777777" w:rsidTr="00FA555E">
        <w:trPr>
          <w:trHeight w:val="528"/>
          <w:tblHeader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99D3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1DAD" w14:textId="72EDA7F6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ср. з/п учителей в субъекте РФ в янв.-дек. 2020 г.,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8330" w14:textId="731EA26B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ставок заработной платы (должностных окладов) в 2020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BC45" w14:textId="68C30FF8" w:rsidR="008216DB" w:rsidRPr="001E013D" w:rsidRDefault="008216DB" w:rsidP="0082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Индексация заработной платы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8216DB" w:rsidRPr="001E013D" w14:paraId="0AD4ABCB" w14:textId="77777777" w:rsidTr="008216DB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B4A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32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1C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C3A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7B65F177" w14:textId="77777777" w:rsidTr="008216DB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05C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E9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A1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D0F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11C1074F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B34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5ED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7A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1C0" w14:textId="77464C8B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8216DB" w:rsidRPr="001E013D" w14:paraId="44FBF6BE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C09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0C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4B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928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24BF986C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E3E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447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0D2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7E1" w14:textId="53F5E26E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8216DB" w:rsidRPr="001E013D" w14:paraId="25BE9D83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E39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C7C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715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30B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519550D7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D2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49D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2B0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ECF" w14:textId="6CE08C1D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8216DB" w:rsidRPr="001E013D" w14:paraId="4249B34B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398B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89DA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532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D85" w14:textId="38B7A4DC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26D13AB2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52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378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51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85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97C" w:rsidRPr="001E013D" w14:paraId="751B67FD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E63" w14:textId="77777777" w:rsidR="00BC597C" w:rsidRPr="00BC597C" w:rsidRDefault="00BC597C" w:rsidP="00BC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4FFF" w14:textId="77777777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2C0" w14:textId="77777777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980F" w14:textId="428552AC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C597C" w:rsidRPr="001E013D" w14:paraId="78611D64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E85" w14:textId="77777777" w:rsidR="00BC597C" w:rsidRPr="00BC597C" w:rsidRDefault="00BC597C" w:rsidP="00BC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6AA" w14:textId="77777777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537" w14:textId="77777777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474" w14:textId="099D2964" w:rsidR="00BC597C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216DB" w:rsidRPr="001E013D" w14:paraId="22B11E24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AB5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27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88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AC6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41C304C5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73E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D043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BA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805" w14:textId="7F02FD99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16DB" w:rsidRPr="001E013D" w14:paraId="457C20EF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1F2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4C9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D42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749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1E6155D0" w14:textId="77777777" w:rsidTr="008216DB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C94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C5B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AC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9FB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5CFAB51D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5CF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759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EB6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60F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574A75B4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74F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92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526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9FE" w14:textId="7B45E8D5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44736EDA" w14:textId="77777777" w:rsidTr="00BC597C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BE0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7B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975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D8BC" w14:textId="232E50B4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77588709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70C6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BA9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EF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A28" w14:textId="52DF65B9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216DB" w:rsidRPr="001E013D" w14:paraId="3C8BE20A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18D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2CA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820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3AD" w14:textId="5F3B6369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2DF97A27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8B7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19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33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D5E" w14:textId="32856444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8216DB" w:rsidRPr="001E013D" w14:paraId="160EBE63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D30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E2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5D30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5A5E" w14:textId="2F393C66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6DB" w:rsidRPr="001E013D" w14:paraId="46FF0C53" w14:textId="77777777" w:rsidTr="00BC597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7B7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9D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281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A4E" w14:textId="41CEE321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433D69F2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BC3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28FD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092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8F2" w14:textId="42644C2F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24BA3768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079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757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FE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882" w14:textId="5487EAA3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09115631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501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123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097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438" w14:textId="7D414DC5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1211732B" w14:textId="77777777" w:rsidTr="00BC597C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436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79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F9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905F" w14:textId="36F8DBFE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16DB" w:rsidRPr="001E013D" w14:paraId="6E6BDAA3" w14:textId="77777777" w:rsidTr="00BC597C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641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6D8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046" w14:textId="01C368EE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FA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173" w14:textId="3BCB2F80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8216DB" w:rsidRPr="001E013D" w14:paraId="1976D532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275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5410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18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AC5" w14:textId="77DB3584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6DB" w:rsidRPr="001E013D" w14:paraId="3E865736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988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35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B3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D2A1" w14:textId="7CEA260D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59BE56CF" w14:textId="77777777" w:rsidTr="00BC597C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B99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34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44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B3D" w14:textId="3DC2B7C9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7DAF6985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294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0B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CBC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669" w14:textId="7211659F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475F3275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B6D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507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931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09B" w14:textId="3A5EB882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3A97E2D6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EC7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DD4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B3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CD75" w14:textId="2074692B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21D8972D" w14:textId="77777777" w:rsidTr="008216DB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3B5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A0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CA4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38F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2D588DAE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6780" w14:textId="77777777" w:rsidR="008216DB" w:rsidRPr="008216DB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E48" w14:textId="77777777" w:rsidR="008216DB" w:rsidRPr="008216DB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BFC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CED" w14:textId="17F65F87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22899AB6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02C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82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6A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15E" w14:textId="07064E4C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16DB" w:rsidRPr="001E013D" w14:paraId="7AE9D1C1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E5D" w14:textId="77777777" w:rsidR="008216DB" w:rsidRPr="00D727D2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BE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3A7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F551" w14:textId="283C1F74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8216DB" w:rsidRPr="001E013D" w14:paraId="21E31F37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532" w14:textId="77777777" w:rsidR="008216DB" w:rsidRPr="00D727D2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C84A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D3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EFD" w14:textId="6F63D854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16DB" w:rsidRPr="001E013D" w14:paraId="659FB810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BD6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5D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93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6605" w14:textId="5890FD33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8216DB" w:rsidRPr="001E013D" w14:paraId="43BB8821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D62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CDD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4A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939" w14:textId="257EFFD0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3E580630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2B37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6DB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8C90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76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207" w14:textId="1428882F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46503460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BCA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C1B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D7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494" w14:textId="0D4830A6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8216DB" w:rsidRPr="001E013D" w14:paraId="215FD009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313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E7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8D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A81" w14:textId="153F4680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8216DB" w:rsidRPr="001E013D" w14:paraId="1004DAB5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372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5E0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0A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D6AF" w14:textId="1C9761EE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318CD391" w14:textId="77777777" w:rsidTr="008216DB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125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858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3DF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EC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64C43D1E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706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062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004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C40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4ACF5500" w14:textId="77777777" w:rsidTr="00BC597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A21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F2DA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301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280" w14:textId="628602B2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216DB" w:rsidRPr="001E013D" w14:paraId="738981E7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542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CD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2B4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FE4" w14:textId="054C11B7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8216DB" w:rsidRPr="001E013D" w14:paraId="167A9BCF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DF8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F86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FF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155" w14:textId="21252E9D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30DF0468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679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4B97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467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E11" w14:textId="2A79F4EF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6DB" w:rsidRPr="001E013D" w14:paraId="2F7C947E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8A3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B3C5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32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624" w14:textId="4BEEF2E6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3CC878F7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F34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807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543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44D" w14:textId="28E949C8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3D08CDEB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378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75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184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432" w14:textId="029D7382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8216DB" w:rsidRPr="001E013D" w14:paraId="218B8B06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C5A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33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92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74F" w14:textId="7052140C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4745004D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6F0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9A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DB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33E" w14:textId="17D7F165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16443255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0B3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5DF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919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A5E" w14:textId="51E519D7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799A7D3A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39C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25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521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29AC" w14:textId="52546BDC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6409ECBC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0CB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5FF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48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F30" w14:textId="0BBAAB4B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40EA5F21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281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28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59E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B65" w14:textId="160526BA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6DB" w:rsidRPr="001E013D" w14:paraId="28463B72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BDE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D67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264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A08" w14:textId="134A23F5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0E2159A0" w14:textId="77777777" w:rsidTr="008216DB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587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FF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7F5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40E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6DB" w:rsidRPr="001E013D" w14:paraId="4633C314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F1D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A0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A79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1AF3" w14:textId="4EE1289B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27F93B91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832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F84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A06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BE6" w14:textId="2EDFA8F6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7445C879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851" w14:textId="77777777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F91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3BA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AF4" w14:textId="32FC9DF3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8216DB" w:rsidRPr="001E013D" w14:paraId="624237EF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EE3" w14:textId="77777777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7B8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67D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E65" w14:textId="20442F4C" w:rsidR="008216DB" w:rsidRPr="001E013D" w:rsidRDefault="00BC597C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6DB" w:rsidRPr="001E013D" w14:paraId="7F7B8CF8" w14:textId="77777777" w:rsidTr="00BC597C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237" w14:textId="711DF40B" w:rsidR="008216DB" w:rsidRPr="001E013D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  <w:r w:rsidR="007A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229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19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507" w14:textId="21D48B04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6DB" w:rsidRPr="001E013D" w14:paraId="594B8DDC" w14:textId="77777777" w:rsidTr="00BC597C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579" w14:textId="25282E8D" w:rsidR="008216DB" w:rsidRPr="00555E91" w:rsidRDefault="008216DB" w:rsidP="001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Чукотский автономный округ</w:t>
            </w:r>
            <w:r w:rsidR="007A4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4B4" w14:textId="77777777" w:rsidR="008216DB" w:rsidRPr="00555E91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5E9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48DB" w14:textId="77777777" w:rsidR="008216DB" w:rsidRPr="001E013D" w:rsidRDefault="008216DB" w:rsidP="001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1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9943" w14:textId="71E5EFD1" w:rsidR="008216DB" w:rsidRPr="001E013D" w:rsidRDefault="008216DB" w:rsidP="00B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84BF8F" w14:textId="77777777" w:rsidR="007A449C" w:rsidRPr="00195A6A" w:rsidRDefault="007A449C" w:rsidP="007A449C">
      <w:pPr>
        <w:rPr>
          <w:rFonts w:ascii="Times New Roman" w:hAnsi="Times New Roman" w:cs="Times New Roman"/>
          <w:sz w:val="20"/>
          <w:szCs w:val="20"/>
        </w:rPr>
      </w:pPr>
      <w:r w:rsidRPr="00195A6A">
        <w:rPr>
          <w:rFonts w:ascii="Times New Roman" w:hAnsi="Times New Roman" w:cs="Times New Roman"/>
          <w:sz w:val="20"/>
          <w:szCs w:val="20"/>
        </w:rPr>
        <w:t>*Не участвовали в мониторинге</w:t>
      </w:r>
    </w:p>
    <w:p w14:paraId="5E45BCBA" w14:textId="77777777" w:rsidR="008216DB" w:rsidRPr="00DA6422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Отношение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заработной платы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педагогических работников организаций дополнительного образования детей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средней заработной плате учителей в январе-декабре 2020 года в среднем по Российской Федерации составило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93,6%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(целевое значение соотношения, установленное Программой на 2018 год – 100%).</w:t>
      </w:r>
    </w:p>
    <w:p w14:paraId="346616B8" w14:textId="7295F30A" w:rsidR="008216DB" w:rsidRPr="00DA6422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26 субъектах РФ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уровень средней заработной платы педагогических работников организаций дополнительного образования детей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достиг или превысил целевое значение показателя.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25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них превышение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пределах 5%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1 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субъект</w:t>
      </w:r>
      <w:r w:rsidR="00343BF4"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РФ –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свыше 5%</w:t>
      </w:r>
      <w:r w:rsidRPr="00DA64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Москва – на 8,7%).</w:t>
      </w:r>
    </w:p>
    <w:p w14:paraId="4B8260F1" w14:textId="712C669C" w:rsidR="008216DB" w:rsidRPr="00DA6422" w:rsidRDefault="008216DB" w:rsidP="00DA6422">
      <w:pPr>
        <w:spacing w:after="0" w:line="240" w:lineRule="auto"/>
        <w:ind w:firstLineChars="200" w:firstLine="48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59 субъектах РФ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уровень средней заработной платы педагогических работников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организаций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дополнительного образования детей </w:t>
      </w:r>
      <w:r w:rsidRPr="00DA64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не достиг целевого значения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показателя.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4</w:t>
      </w:r>
      <w:r w:rsidR="00343BF4"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отклонение от целевого значения показателя находится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пределах допустимых 5% 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1</w:t>
      </w:r>
      <w:r w:rsidR="00555E91"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7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субъектах РФ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– </w:t>
      </w:r>
      <w:r w:rsidR="00D727D2"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свыше</w:t>
      </w:r>
      <w:r w:rsidR="00555E91"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5% 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(республики Калмыкия, Марий Эл, Саха (Якутия), Северная Осетия-Алания, Тыва, Хакасия, Краснодарский, Приморский, Хабаровский края, Костромская, Курганская, Орловская, Свердловская, Тульская, Ульяновская области, г. Севастополь</w:t>
      </w:r>
      <w:r w:rsidR="00555E91"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, Чукотский автономный округ</w:t>
      </w:r>
      <w:r w:rsidR="00343BF4"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)</w:t>
      </w:r>
      <w:r w:rsidRPr="00DA64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  <w:r w:rsidRPr="00D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14:paraId="63CDDE0E" w14:textId="56AA6022" w:rsidR="008216DB" w:rsidRPr="00DA6422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Максимальное отклонение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значения целевого показателя отмечено в Республике Северная Осетия-Алания –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6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16,6%</w:t>
      </w:r>
      <w:r w:rsidRPr="00DA64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6F2FB80" w14:textId="4BD408AE" w:rsidR="00D727D2" w:rsidRPr="00DA6422" w:rsidRDefault="00D727D2" w:rsidP="00DA6422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 результатам мониторинга, проведенного Общероссийским Профсоюзом образования в феврале-марте 2021 года, меры, направленные на повышение должностных окладов и/или 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индексацию заработной платы работников в 8  из 17 субъектов РФ, в которых отклонение от целевого значения показателя превысило допустимые 5%, не предпринимались (республики Саха (Якутия), Тыва, Хакасия, Краснодарский и Приморский края, Курганская</w:t>
      </w:r>
      <w:r w:rsidR="00343BF4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Орловская</w:t>
      </w:r>
      <w:r w:rsidR="00343BF4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Ульяновская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области). В 8 из них в течение 2020 года проводилось повышение должностных окладов, ставок заработной платы и/или индексация заработной платы (республики Калмыкия, Марий Эл, Северная Осетия-Алания, Хабаровский край, Костромская</w:t>
      </w:r>
      <w:r w:rsidR="00343BF4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Свердловская,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Тульская области, г. Севастополь), однако, данных мер было недостаточно для сохранения (доведения) средней заработной платы педагогических работников организаций дополнительного образования детей </w:t>
      </w:r>
      <w:r w:rsidR="00190AD5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до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уровн</w:t>
      </w:r>
      <w:r w:rsidR="00190AD5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</w:t>
      </w:r>
      <w:r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заработной платы учителей общеобразовательных организаций.</w:t>
      </w:r>
      <w:r w:rsidR="00460D0F" w:rsidRPr="00DA642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Чукотский автономный округ не принимал участия в мониторинге.</w:t>
      </w:r>
    </w:p>
    <w:p w14:paraId="6136D1D0" w14:textId="0F1C141F" w:rsidR="008216DB" w:rsidRPr="00DA6422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CB0E5" w14:textId="0A5B0D8C" w:rsidR="008216DB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236ADB" w14:textId="77777777" w:rsidR="008216DB" w:rsidRPr="007D00FF" w:rsidRDefault="008216DB" w:rsidP="00821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45BB92E" w14:textId="77777777" w:rsidR="008216DB" w:rsidRPr="00214CE8" w:rsidRDefault="008216DB" w:rsidP="00700D1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5ABD3B" w14:textId="77777777" w:rsidR="00700D19" w:rsidRDefault="00700D19" w:rsidP="009151B8"/>
    <w:sectPr w:rsidR="00700D19" w:rsidSect="00343BF4">
      <w:footerReference w:type="default" r:id="rId8"/>
      <w:pgSz w:w="11906" w:h="16838"/>
      <w:pgMar w:top="851" w:right="851" w:bottom="851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6DEF" w14:textId="77777777" w:rsidR="007E25E3" w:rsidRDefault="007E25E3" w:rsidP="00343BF4">
      <w:pPr>
        <w:spacing w:after="0" w:line="240" w:lineRule="auto"/>
      </w:pPr>
      <w:r>
        <w:separator/>
      </w:r>
    </w:p>
  </w:endnote>
  <w:endnote w:type="continuationSeparator" w:id="0">
    <w:p w14:paraId="11C7118D" w14:textId="77777777" w:rsidR="007E25E3" w:rsidRDefault="007E25E3" w:rsidP="003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6999"/>
      <w:docPartObj>
        <w:docPartGallery w:val="Page Numbers (Bottom of Page)"/>
        <w:docPartUnique/>
      </w:docPartObj>
    </w:sdtPr>
    <w:sdtEndPr/>
    <w:sdtContent>
      <w:p w14:paraId="15A5ED34" w14:textId="500D70F9" w:rsidR="003732BF" w:rsidRDefault="003732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4C">
          <w:rPr>
            <w:noProof/>
          </w:rPr>
          <w:t>1</w:t>
        </w:r>
        <w:r>
          <w:fldChar w:fldCharType="end"/>
        </w:r>
      </w:p>
    </w:sdtContent>
  </w:sdt>
  <w:p w14:paraId="628452CD" w14:textId="77777777" w:rsidR="003732BF" w:rsidRDefault="00373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BB797" w14:textId="77777777" w:rsidR="007E25E3" w:rsidRDefault="007E25E3" w:rsidP="00343BF4">
      <w:pPr>
        <w:spacing w:after="0" w:line="240" w:lineRule="auto"/>
      </w:pPr>
      <w:r>
        <w:separator/>
      </w:r>
    </w:p>
  </w:footnote>
  <w:footnote w:type="continuationSeparator" w:id="0">
    <w:p w14:paraId="0B84C5CE" w14:textId="77777777" w:rsidR="007E25E3" w:rsidRDefault="007E25E3" w:rsidP="003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3B"/>
    <w:multiLevelType w:val="hybridMultilevel"/>
    <w:tmpl w:val="27AC3B4A"/>
    <w:lvl w:ilvl="0" w:tplc="424E3EDE">
      <w:start w:val="3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E2D02"/>
    <w:multiLevelType w:val="hybridMultilevel"/>
    <w:tmpl w:val="F7B46C5C"/>
    <w:lvl w:ilvl="0" w:tplc="ED824AE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8"/>
    <w:rsid w:val="000B334C"/>
    <w:rsid w:val="000B6709"/>
    <w:rsid w:val="00150BA2"/>
    <w:rsid w:val="00190AD5"/>
    <w:rsid w:val="00195A6A"/>
    <w:rsid w:val="001E013D"/>
    <w:rsid w:val="002F351E"/>
    <w:rsid w:val="00343BF4"/>
    <w:rsid w:val="003732BF"/>
    <w:rsid w:val="003E7453"/>
    <w:rsid w:val="00404B91"/>
    <w:rsid w:val="00460D0F"/>
    <w:rsid w:val="004C721F"/>
    <w:rsid w:val="00553F8F"/>
    <w:rsid w:val="00555E91"/>
    <w:rsid w:val="00700D19"/>
    <w:rsid w:val="00735023"/>
    <w:rsid w:val="007A449C"/>
    <w:rsid w:val="007E25E3"/>
    <w:rsid w:val="008041CE"/>
    <w:rsid w:val="008216DB"/>
    <w:rsid w:val="00856A64"/>
    <w:rsid w:val="00881BB8"/>
    <w:rsid w:val="009151B8"/>
    <w:rsid w:val="00A53A38"/>
    <w:rsid w:val="00B54A98"/>
    <w:rsid w:val="00B7244F"/>
    <w:rsid w:val="00B731E1"/>
    <w:rsid w:val="00BA02B7"/>
    <w:rsid w:val="00BC597C"/>
    <w:rsid w:val="00D0553B"/>
    <w:rsid w:val="00D727D2"/>
    <w:rsid w:val="00DA6422"/>
    <w:rsid w:val="00EF3065"/>
    <w:rsid w:val="00F02DD1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E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BF4"/>
  </w:style>
  <w:style w:type="paragraph" w:styleId="a6">
    <w:name w:val="footer"/>
    <w:basedOn w:val="a"/>
    <w:link w:val="a7"/>
    <w:uiPriority w:val="99"/>
    <w:unhideWhenUsed/>
    <w:rsid w:val="0034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BF4"/>
  </w:style>
  <w:style w:type="paragraph" w:styleId="a6">
    <w:name w:val="footer"/>
    <w:basedOn w:val="a"/>
    <w:link w:val="a7"/>
    <w:uiPriority w:val="99"/>
    <w:unhideWhenUsed/>
    <w:rsid w:val="0034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Ялина</dc:creator>
  <cp:lastModifiedBy>Mikhail Kupriyanov</cp:lastModifiedBy>
  <cp:revision>2</cp:revision>
  <dcterms:created xsi:type="dcterms:W3CDTF">2021-04-26T23:47:00Z</dcterms:created>
  <dcterms:modified xsi:type="dcterms:W3CDTF">2021-04-26T23:47:00Z</dcterms:modified>
</cp:coreProperties>
</file>